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153D" w14:textId="77777777" w:rsidR="00422EC8" w:rsidRDefault="00422EC8" w:rsidP="00422EC8">
      <w:pPr>
        <w:jc w:val="both"/>
        <w:rPr>
          <w:rFonts w:ascii="Bookman Old Style" w:hAnsi="Bookman Old Style" w:cs="Arial"/>
        </w:rPr>
      </w:pPr>
      <w:r w:rsidRPr="00727E0A">
        <w:rPr>
          <w:rFonts w:ascii="Bookman Old Style" w:hAnsi="Bookman Old Style"/>
          <w:noProof/>
        </w:rPr>
        <w:drawing>
          <wp:inline distT="0" distB="0" distL="0" distR="0" wp14:anchorId="01B92373" wp14:editId="36919A1E">
            <wp:extent cx="1560830" cy="1238250"/>
            <wp:effectExtent l="0" t="0" r="0" b="0"/>
            <wp:docPr id="1" name="Image 1" descr="http://www.intranet.ars.sante.fr/fileadmin/private/PACA/S_organiser_au_quotidien/Creer_un_document/logos/Basse_definition/arsP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ars.sante.fr/fileadmin/private/PACA/S_organiser_au_quotidien/Creer_un_document/logos/Basse_definition/arsPa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741" cy="123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E0A">
        <w:rPr>
          <w:rFonts w:ascii="Bookman Old Style" w:hAnsi="Bookman Old Style" w:cs="Arial"/>
        </w:rPr>
        <w:t xml:space="preserve"> </w:t>
      </w:r>
    </w:p>
    <w:p w14:paraId="0E0F836E" w14:textId="77777777" w:rsidR="004D500D" w:rsidRDefault="004D500D" w:rsidP="00422EC8">
      <w:pPr>
        <w:jc w:val="center"/>
        <w:rPr>
          <w:rFonts w:ascii="Bookman Old Style" w:hAnsi="Bookman Old Style" w:cs="Arial"/>
          <w:b/>
        </w:rPr>
      </w:pPr>
    </w:p>
    <w:p w14:paraId="0431C445" w14:textId="77777777" w:rsidR="004D500D" w:rsidRPr="00D174C5" w:rsidRDefault="004D500D" w:rsidP="00422EC8">
      <w:pPr>
        <w:jc w:val="center"/>
        <w:rPr>
          <w:rFonts w:ascii="Bookman Old Style" w:hAnsi="Bookman Old Style" w:cs="Arial"/>
          <w:b/>
        </w:rPr>
      </w:pPr>
      <w:r w:rsidRPr="00D174C5">
        <w:rPr>
          <w:rFonts w:ascii="Bookman Old Style" w:hAnsi="Bookman Old Style" w:cs="Arial"/>
          <w:b/>
        </w:rPr>
        <w:t>CAHIER DES CHARGES</w:t>
      </w:r>
    </w:p>
    <w:p w14:paraId="04432C1D" w14:textId="77777777" w:rsidR="004D500D" w:rsidRPr="00D174C5" w:rsidRDefault="004D500D" w:rsidP="00422EC8">
      <w:pPr>
        <w:jc w:val="center"/>
        <w:rPr>
          <w:rFonts w:ascii="Bookman Old Style" w:hAnsi="Bookman Old Style" w:cs="Arial"/>
          <w:b/>
        </w:rPr>
      </w:pPr>
      <w:r w:rsidRPr="00D174C5">
        <w:rPr>
          <w:rFonts w:ascii="Bookman Old Style" w:hAnsi="Bookman Old Style" w:cs="Arial"/>
          <w:b/>
        </w:rPr>
        <w:t xml:space="preserve">Appel à candidatures pour les postes </w:t>
      </w:r>
    </w:p>
    <w:p w14:paraId="20000BFC" w14:textId="77777777" w:rsidR="000B146E" w:rsidRPr="00D174C5" w:rsidRDefault="004D500D" w:rsidP="00422EC8">
      <w:pPr>
        <w:jc w:val="center"/>
        <w:rPr>
          <w:rFonts w:ascii="Bookman Old Style" w:eastAsia="Calibri" w:hAnsi="Bookman Old Style"/>
          <w:i/>
          <w:sz w:val="22"/>
          <w:szCs w:val="22"/>
          <w:lang w:eastAsia="en-US"/>
        </w:rPr>
      </w:pPr>
      <w:r w:rsidRPr="00D174C5">
        <w:rPr>
          <w:rFonts w:ascii="Bookman Old Style" w:hAnsi="Bookman Old Style" w:cs="Arial"/>
          <w:b/>
        </w:rPr>
        <w:t>D’</w:t>
      </w:r>
      <w:r w:rsidR="00422EC8" w:rsidRPr="00D174C5">
        <w:rPr>
          <w:rFonts w:ascii="Bookman Old Style" w:hAnsi="Bookman Old Style" w:cs="Arial"/>
          <w:b/>
        </w:rPr>
        <w:t>Assistants Universitaires de Médecine Générale</w:t>
      </w:r>
      <w:r w:rsidR="00422EC8" w:rsidRPr="00D174C5">
        <w:rPr>
          <w:rFonts w:ascii="Bookman Old Style" w:hAnsi="Bookman Old Style" w:cs="Arial"/>
        </w:rPr>
        <w:t xml:space="preserve"> (AUMG)</w:t>
      </w:r>
    </w:p>
    <w:p w14:paraId="3CD885E8" w14:textId="0648A97B" w:rsidR="00422EC8" w:rsidRPr="004D500D" w:rsidRDefault="00D174C5" w:rsidP="00422EC8">
      <w:pPr>
        <w:jc w:val="center"/>
        <w:rPr>
          <w:rFonts w:ascii="Bookman Old Style" w:hAnsi="Bookman Old Style" w:cs="Arial"/>
          <w:b/>
        </w:rPr>
      </w:pPr>
      <w:r w:rsidRPr="00D174C5">
        <w:rPr>
          <w:rFonts w:ascii="Bookman Old Style" w:hAnsi="Bookman Old Style" w:cs="Arial"/>
          <w:b/>
        </w:rPr>
        <w:t>202</w:t>
      </w:r>
      <w:r w:rsidR="00637988">
        <w:rPr>
          <w:rFonts w:ascii="Bookman Old Style" w:hAnsi="Bookman Old Style" w:cs="Arial"/>
          <w:b/>
        </w:rPr>
        <w:t>5</w:t>
      </w:r>
      <w:r w:rsidRPr="00D174C5">
        <w:rPr>
          <w:rFonts w:ascii="Bookman Old Style" w:hAnsi="Bookman Old Style" w:cs="Arial"/>
          <w:b/>
        </w:rPr>
        <w:t>-202</w:t>
      </w:r>
      <w:r w:rsidR="00637988">
        <w:rPr>
          <w:rFonts w:ascii="Bookman Old Style" w:hAnsi="Bookman Old Style" w:cs="Arial"/>
          <w:b/>
        </w:rPr>
        <w:t>7</w:t>
      </w:r>
    </w:p>
    <w:p w14:paraId="5995FA6F" w14:textId="77777777" w:rsidR="000945D3" w:rsidRDefault="000945D3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14:paraId="69B55667" w14:textId="77777777" w:rsidR="004D500D" w:rsidRDefault="004D500D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14:paraId="6CC0A4B4" w14:textId="77777777" w:rsidR="004D500D" w:rsidRDefault="004D500D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14:paraId="357B6DD3" w14:textId="77777777" w:rsidR="004D500D" w:rsidRPr="000945D3" w:rsidRDefault="004D500D" w:rsidP="000945D3">
      <w:pPr>
        <w:pStyle w:val="Paragraphedeliste"/>
        <w:spacing w:after="200" w:line="276" w:lineRule="auto"/>
        <w:rPr>
          <w:rFonts w:ascii="Bookman Old Style" w:eastAsia="Calibri" w:hAnsi="Bookman Old Style"/>
          <w:bCs/>
          <w:i/>
          <w:sz w:val="22"/>
          <w:szCs w:val="22"/>
          <w:lang w:eastAsia="en-US"/>
        </w:rPr>
      </w:pPr>
    </w:p>
    <w:p w14:paraId="5B3108CC" w14:textId="77777777" w:rsidR="00727E0A" w:rsidRPr="00727E0A" w:rsidRDefault="00A97B0B" w:rsidP="00727E0A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Objet de l’appel à candidatures </w:t>
      </w:r>
    </w:p>
    <w:p w14:paraId="032B6F73" w14:textId="410D0329" w:rsidR="004D500D" w:rsidRDefault="00C0465D" w:rsidP="00D174C5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L’Agence régionale de santé Provence Alpes Côte-d’Azur lance </w:t>
      </w: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sa </w:t>
      </w:r>
      <w:r w:rsidR="003676B7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7</w:t>
      </w: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ème </w:t>
      </w:r>
      <w:r w:rsidR="00AE13C9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campagne</w:t>
      </w:r>
      <w:r w:rsidR="00AE13C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relative aux</w:t>
      </w:r>
      <w:r w:rsidR="00D174C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postes d’Assistants Universitaires de Médecine Générale (AUMG).</w:t>
      </w:r>
    </w:p>
    <w:p w14:paraId="345F537D" w14:textId="77777777" w:rsidR="00A714AF" w:rsidRPr="00BA5E9B" w:rsidRDefault="00A714AF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4812AB8B" w14:textId="77777777" w:rsidR="00A97B0B" w:rsidRDefault="00A97B0B" w:rsidP="00A714AF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Un assistant universitaire de médecine générale exerce à la fois dans une structure de soins ambulatoire partenaire du projet (centre de santé, maison de santé, cabinet de groupe </w:t>
      </w: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ou individuel</w:t>
      </w:r>
      <w:r w:rsidR="00C0465D">
        <w:rPr>
          <w:rFonts w:ascii="Bookman Old Style" w:eastAsia="Calibri" w:hAnsi="Bookman Old Style"/>
          <w:bCs/>
          <w:sz w:val="22"/>
          <w:szCs w:val="22"/>
          <w:lang w:eastAsia="en-US"/>
        </w:rPr>
        <w:t>, autres structures de ville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) et pour le département de médecine générale de l’université</w:t>
      </w:r>
      <w:r w:rsidR="00C0465D">
        <w:rPr>
          <w:rFonts w:ascii="Bookman Old Style" w:eastAsia="Calibri" w:hAnsi="Bookman Old Style"/>
          <w:bCs/>
          <w:sz w:val="22"/>
          <w:szCs w:val="22"/>
          <w:lang w:eastAsia="en-US"/>
        </w:rPr>
        <w:t>, pour une durée de deux ans</w:t>
      </w:r>
      <w:r w:rsidR="00C5145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continus et consécutifs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14:paraId="0F4BC8C5" w14:textId="77777777" w:rsidR="00A97B0B" w:rsidRDefault="00A97B0B" w:rsidP="00A714AF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6961D5CD" w14:textId="77777777" w:rsidR="00A714AF" w:rsidRPr="00A714AF" w:rsidRDefault="00A714AF" w:rsidP="00A714AF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69540811" w14:textId="77777777" w:rsidR="00A714AF" w:rsidRDefault="00A714AF" w:rsidP="000945D3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160218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Attention</w:t>
      </w:r>
      <w:r w:rsidRPr="00A714A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le candidat retenu </w:t>
      </w:r>
      <w:r w:rsidR="00160218">
        <w:rPr>
          <w:rFonts w:ascii="Bookman Old Style" w:eastAsia="Calibri" w:hAnsi="Bookman Old Style"/>
          <w:bCs/>
          <w:sz w:val="22"/>
          <w:szCs w:val="22"/>
          <w:lang w:eastAsia="en-US"/>
        </w:rPr>
        <w:t>ne pourra pas</w:t>
      </w:r>
      <w:r w:rsidRPr="004424EE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avoir le statut de </w:t>
      </w:r>
      <w:r w:rsidR="00160218" w:rsidRPr="004424EE">
        <w:rPr>
          <w:rFonts w:ascii="Bookman Old Style" w:eastAsia="Calibri" w:hAnsi="Bookman Old Style"/>
          <w:bCs/>
          <w:sz w:val="22"/>
          <w:szCs w:val="22"/>
          <w:lang w:eastAsia="en-US"/>
        </w:rPr>
        <w:t>remplaçant</w:t>
      </w:r>
      <w:r w:rsidR="00160218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14:paraId="57C651E9" w14:textId="77777777" w:rsidR="00C32D8F" w:rsidRDefault="00C32D8F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6E413A66" w14:textId="77777777" w:rsidR="001D0EDD" w:rsidRDefault="00A97B0B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Les activités de l’assistant universitaire de médecine générale </w:t>
      </w:r>
      <w:r w:rsidR="001D0EDD" w:rsidRPr="00C32D8F">
        <w:rPr>
          <w:rFonts w:ascii="Bookman Old Style" w:hAnsi="Bookman Old Style"/>
          <w:sz w:val="22"/>
          <w:szCs w:val="22"/>
        </w:rPr>
        <w:t>sont :</w:t>
      </w:r>
    </w:p>
    <w:p w14:paraId="576A4454" w14:textId="77777777" w:rsidR="00124613" w:rsidRPr="00C32D8F" w:rsidRDefault="00124613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22CC2C4D" w14:textId="77777777" w:rsidR="001D0EDD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  <w:u w:val="single"/>
        </w:rPr>
        <w:t>-Au sein de la structure de soins</w:t>
      </w:r>
      <w:r w:rsidRPr="00C32D8F">
        <w:rPr>
          <w:rFonts w:ascii="Bookman Old Style" w:hAnsi="Bookman Old Style"/>
          <w:sz w:val="22"/>
          <w:szCs w:val="22"/>
        </w:rPr>
        <w:t xml:space="preserve"> : </w:t>
      </w:r>
    </w:p>
    <w:p w14:paraId="0DCC3B06" w14:textId="77777777" w:rsidR="00124613" w:rsidRPr="00C32D8F" w:rsidRDefault="00124613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6F011FBB" w14:textId="77777777" w:rsidR="001D0EDD" w:rsidRPr="00C32D8F" w:rsidRDefault="001D0EDD" w:rsidP="001D0EDD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Des activités de soins (curatifs et préventifs) en lien avec les acteurs sanitaires et sociaux du territoire. </w:t>
      </w:r>
    </w:p>
    <w:p w14:paraId="192B3EE0" w14:textId="77777777" w:rsidR="001D0EDD" w:rsidRPr="00C32D8F" w:rsidRDefault="00BF4E89" w:rsidP="001D0EDD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L’e</w:t>
      </w:r>
      <w:r w:rsidR="001D0EDD" w:rsidRPr="00C32D8F">
        <w:rPr>
          <w:rFonts w:ascii="Bookman Old Style" w:hAnsi="Bookman Old Style"/>
          <w:sz w:val="22"/>
          <w:szCs w:val="22"/>
        </w:rPr>
        <w:t>ncadrement d’internes et/ou d’externes</w:t>
      </w:r>
    </w:p>
    <w:p w14:paraId="2B17C741" w14:textId="77777777" w:rsidR="003640AC" w:rsidRPr="00C32D8F" w:rsidRDefault="00BF4E89" w:rsidP="001D0EDD">
      <w:pPr>
        <w:pStyle w:val="Paragraphedeliste"/>
        <w:numPr>
          <w:ilvl w:val="0"/>
          <w:numId w:val="33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 p</w:t>
      </w:r>
      <w:r w:rsidR="003640AC" w:rsidRPr="00C32D8F">
        <w:rPr>
          <w:rFonts w:ascii="Bookman Old Style" w:hAnsi="Bookman Old Style"/>
          <w:sz w:val="22"/>
          <w:szCs w:val="22"/>
        </w:rPr>
        <w:t>articipation à la PDSA</w:t>
      </w:r>
    </w:p>
    <w:p w14:paraId="4A43E513" w14:textId="77777777" w:rsidR="00101CE4" w:rsidRPr="00C32D8F" w:rsidRDefault="00BF4E89" w:rsidP="00101CE4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L’AUMG</w:t>
      </w:r>
      <w:r w:rsidR="00101CE4" w:rsidRPr="00C32D8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peu</w:t>
      </w:r>
      <w:r w:rsidR="00C32D8F" w:rsidRPr="00C32D8F">
        <w:rPr>
          <w:rFonts w:ascii="Bookman Old Style" w:hAnsi="Bookman Old Style"/>
          <w:sz w:val="22"/>
          <w:szCs w:val="22"/>
        </w:rPr>
        <w:t>t</w:t>
      </w:r>
      <w:r w:rsidR="00101CE4" w:rsidRPr="00C32D8F">
        <w:rPr>
          <w:rFonts w:ascii="Bookman Old Style" w:hAnsi="Bookman Old Style"/>
          <w:sz w:val="22"/>
          <w:szCs w:val="22"/>
        </w:rPr>
        <w:t xml:space="preserve"> également participer à des groupes d’</w:t>
      </w:r>
      <w:r w:rsidR="00C32D8F" w:rsidRPr="00C32D8F">
        <w:rPr>
          <w:rFonts w:ascii="Bookman Old Style" w:hAnsi="Bookman Old Style"/>
          <w:sz w:val="22"/>
          <w:szCs w:val="22"/>
        </w:rPr>
        <w:t>échanges</w:t>
      </w:r>
      <w:r w:rsidR="00101CE4" w:rsidRPr="00C32D8F">
        <w:rPr>
          <w:rFonts w:ascii="Bookman Old Style" w:hAnsi="Bookman Old Style"/>
          <w:sz w:val="22"/>
          <w:szCs w:val="22"/>
        </w:rPr>
        <w:t xml:space="preserve"> de pratique sur le territoire d’exercice.</w:t>
      </w:r>
    </w:p>
    <w:p w14:paraId="29B7E94A" w14:textId="77777777" w:rsidR="004D7E4C" w:rsidRDefault="00101CE4" w:rsidP="00710609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>Il travaille en réseau avec les acteurs du territoire afin notamment renforcer le</w:t>
      </w:r>
      <w:r w:rsidR="00C0465D">
        <w:rPr>
          <w:rFonts w:ascii="Bookman Old Style" w:hAnsi="Bookman Old Style"/>
          <w:sz w:val="22"/>
          <w:szCs w:val="22"/>
        </w:rPr>
        <w:t>s</w:t>
      </w:r>
      <w:r w:rsidRPr="00C32D8F">
        <w:rPr>
          <w:rFonts w:ascii="Bookman Old Style" w:hAnsi="Bookman Old Style"/>
          <w:sz w:val="22"/>
          <w:szCs w:val="22"/>
        </w:rPr>
        <w:t xml:space="preserve"> </w:t>
      </w:r>
      <w:r w:rsidR="00C0465D" w:rsidRPr="00C32D8F">
        <w:rPr>
          <w:rFonts w:ascii="Bookman Old Style" w:hAnsi="Bookman Old Style"/>
          <w:sz w:val="22"/>
          <w:szCs w:val="22"/>
        </w:rPr>
        <w:t>lien</w:t>
      </w:r>
      <w:r w:rsidR="00C0465D">
        <w:rPr>
          <w:rFonts w:ascii="Bookman Old Style" w:hAnsi="Bookman Old Style"/>
          <w:sz w:val="22"/>
          <w:szCs w:val="22"/>
        </w:rPr>
        <w:t>s</w:t>
      </w:r>
      <w:r w:rsidR="00C0465D" w:rsidRPr="00C32D8F">
        <w:rPr>
          <w:rFonts w:ascii="Bookman Old Style" w:hAnsi="Bookman Old Style"/>
          <w:sz w:val="22"/>
          <w:szCs w:val="22"/>
        </w:rPr>
        <w:t>.</w:t>
      </w:r>
    </w:p>
    <w:p w14:paraId="63887226" w14:textId="77777777" w:rsidR="00637988" w:rsidRDefault="00637988" w:rsidP="00710609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F7D7821" w14:textId="77777777" w:rsidR="00C0465D" w:rsidRDefault="00C0465D" w:rsidP="00C0465D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0465D">
        <w:rPr>
          <w:rFonts w:ascii="Bookman Old Style" w:eastAsia="Calibri" w:hAnsi="Bookman Old Style"/>
          <w:b/>
          <w:bCs/>
          <w:sz w:val="22"/>
          <w:szCs w:val="22"/>
          <w:u w:val="single"/>
          <w:lang w:eastAsia="en-US"/>
        </w:rPr>
        <w:t>NB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 : la structure de soins ambulatoire doit se situer en zone prioritaire (ZIP/ZAC/QPV)</w:t>
      </w:r>
      <w:r w:rsidR="00C5145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 : </w:t>
      </w:r>
      <w:hyperlink r:id="rId9" w:history="1">
        <w:r w:rsidR="00C51452" w:rsidRPr="00C51452">
          <w:rPr>
            <w:color w:val="0000FF"/>
            <w:u w:val="single"/>
          </w:rPr>
          <w:t>Zonages et aides à l’installation | Agence régionale de santé PACA (sante.fr)</w:t>
        </w:r>
      </w:hyperlink>
    </w:p>
    <w:p w14:paraId="5B763EF6" w14:textId="77777777" w:rsidR="00C0465D" w:rsidRPr="00710609" w:rsidRDefault="00C0465D" w:rsidP="00710609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25A4D50" w14:textId="77777777" w:rsidR="001D0EDD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  <w:u w:val="single"/>
        </w:rPr>
        <w:t>-Au sein de l’Université</w:t>
      </w:r>
      <w:r w:rsidRPr="00C32D8F">
        <w:rPr>
          <w:rFonts w:ascii="Bookman Old Style" w:hAnsi="Bookman Old Style"/>
          <w:sz w:val="22"/>
          <w:szCs w:val="22"/>
        </w:rPr>
        <w:t xml:space="preserve"> : </w:t>
      </w:r>
    </w:p>
    <w:p w14:paraId="3D54F01F" w14:textId="77777777" w:rsidR="00124613" w:rsidRPr="00C32D8F" w:rsidRDefault="00124613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7E8CAAFA" w14:textId="77777777" w:rsidR="001D0EDD" w:rsidRPr="00C32D8F" w:rsidRDefault="001D0EDD" w:rsidP="001D0EDD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lastRenderedPageBreak/>
        <w:t>Des activités de recherche</w:t>
      </w:r>
      <w:r w:rsidR="00101CE4" w:rsidRPr="00C32D8F">
        <w:rPr>
          <w:rFonts w:ascii="Bookman Old Style" w:hAnsi="Bookman Old Style"/>
          <w:sz w:val="22"/>
          <w:szCs w:val="22"/>
        </w:rPr>
        <w:t xml:space="preserve"> : réunions de recherche, encadrement de thèses, pilotage </w:t>
      </w:r>
      <w:r w:rsidR="00BF4E89">
        <w:rPr>
          <w:rFonts w:ascii="Bookman Old Style" w:hAnsi="Bookman Old Style"/>
          <w:sz w:val="22"/>
          <w:szCs w:val="22"/>
        </w:rPr>
        <w:t>de</w:t>
      </w:r>
      <w:r w:rsidR="00EC59CB">
        <w:rPr>
          <w:rFonts w:ascii="Bookman Old Style" w:hAnsi="Bookman Old Style"/>
          <w:sz w:val="22"/>
          <w:szCs w:val="22"/>
        </w:rPr>
        <w:t xml:space="preserve"> </w:t>
      </w:r>
      <w:r w:rsidR="00101CE4" w:rsidRPr="00C32D8F">
        <w:rPr>
          <w:rFonts w:ascii="Bookman Old Style" w:hAnsi="Bookman Old Style"/>
          <w:sz w:val="22"/>
          <w:szCs w:val="22"/>
        </w:rPr>
        <w:t>projet</w:t>
      </w:r>
      <w:r w:rsidR="00EC59CB">
        <w:rPr>
          <w:rFonts w:ascii="Bookman Old Style" w:hAnsi="Bookman Old Style"/>
          <w:sz w:val="22"/>
          <w:szCs w:val="22"/>
        </w:rPr>
        <w:t>,</w:t>
      </w:r>
      <w:r w:rsidR="00124613">
        <w:rPr>
          <w:rFonts w:ascii="Bookman Old Style" w:hAnsi="Bookman Old Style"/>
          <w:sz w:val="22"/>
          <w:szCs w:val="22"/>
        </w:rPr>
        <w:t xml:space="preserve"> recherche.</w:t>
      </w:r>
    </w:p>
    <w:p w14:paraId="7588313A" w14:textId="77777777" w:rsidR="00A97B0B" w:rsidRDefault="001D0EDD" w:rsidP="00A97B0B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>Des activités pédagogiques</w:t>
      </w:r>
      <w:r w:rsidR="00101CE4" w:rsidRPr="00C32D8F">
        <w:rPr>
          <w:rFonts w:ascii="Bookman Old Style" w:hAnsi="Bookman Old Style"/>
          <w:sz w:val="22"/>
          <w:szCs w:val="22"/>
        </w:rPr>
        <w:t> </w:t>
      </w:r>
      <w:r w:rsidR="00C32D8F" w:rsidRPr="00C32D8F">
        <w:rPr>
          <w:rFonts w:ascii="Bookman Old Style" w:hAnsi="Bookman Old Style"/>
          <w:sz w:val="22"/>
          <w:szCs w:val="22"/>
        </w:rPr>
        <w:t>: enseignement</w:t>
      </w:r>
      <w:r w:rsidRPr="00C32D8F">
        <w:rPr>
          <w:rFonts w:ascii="Bookman Old Style" w:hAnsi="Bookman Old Style"/>
          <w:sz w:val="22"/>
          <w:szCs w:val="22"/>
        </w:rPr>
        <w:t>, participation à la formation des internes/</w:t>
      </w:r>
      <w:r w:rsidR="00101CE4" w:rsidRPr="00C32D8F">
        <w:rPr>
          <w:rFonts w:ascii="Bookman Old Style" w:hAnsi="Bookman Old Style"/>
          <w:sz w:val="22"/>
          <w:szCs w:val="22"/>
        </w:rPr>
        <w:t>externes, participation à la promotion de la maitrise des stages (promotion des MSU, rencontre de médecins généralistes potentiels futurs MSU)…</w:t>
      </w:r>
      <w:r w:rsidR="009111C4">
        <w:rPr>
          <w:rFonts w:ascii="Bookman Old Style" w:hAnsi="Bookman Old Style"/>
          <w:sz w:val="22"/>
          <w:szCs w:val="22"/>
        </w:rPr>
        <w:t>)</w:t>
      </w:r>
    </w:p>
    <w:p w14:paraId="4EC56E87" w14:textId="5C59B215" w:rsidR="00A0499C" w:rsidRPr="003E74A3" w:rsidRDefault="00DB6DCE" w:rsidP="00A97B0B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3E74A3">
        <w:rPr>
          <w:rFonts w:ascii="Bookman Old Style" w:hAnsi="Bookman Old Style"/>
          <w:sz w:val="22"/>
          <w:szCs w:val="22"/>
        </w:rPr>
        <w:t>Faciliter l’attractivité et la visibilité de s</w:t>
      </w:r>
      <w:r w:rsidR="00A0499C" w:rsidRPr="003E74A3">
        <w:rPr>
          <w:rFonts w:ascii="Bookman Old Style" w:hAnsi="Bookman Old Style"/>
          <w:sz w:val="22"/>
          <w:szCs w:val="22"/>
        </w:rPr>
        <w:t>on territoire d’exercice</w:t>
      </w:r>
      <w:r w:rsidRPr="003E74A3">
        <w:rPr>
          <w:rFonts w:ascii="Bookman Old Style" w:hAnsi="Bookman Old Style"/>
          <w:sz w:val="22"/>
          <w:szCs w:val="22"/>
        </w:rPr>
        <w:t xml:space="preserve"> auprès des internes</w:t>
      </w:r>
    </w:p>
    <w:p w14:paraId="3E1A211F" w14:textId="7AA88111" w:rsidR="00A0499C" w:rsidRPr="003E74A3" w:rsidRDefault="00A0499C" w:rsidP="00A97B0B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3E74A3">
        <w:rPr>
          <w:rFonts w:ascii="Bookman Old Style" w:hAnsi="Bookman Old Style"/>
          <w:sz w:val="22"/>
          <w:szCs w:val="22"/>
        </w:rPr>
        <w:t xml:space="preserve">Recueillir les besoins /difficultés spécifiques de son territoire (logement, crèche, mobilité….), </w:t>
      </w:r>
    </w:p>
    <w:p w14:paraId="5D1D6EDB" w14:textId="0FC55F38" w:rsidR="00A0499C" w:rsidRPr="003E74A3" w:rsidRDefault="00A0499C" w:rsidP="00A0499C">
      <w:pPr>
        <w:pStyle w:val="Paragraphedeliste"/>
        <w:numPr>
          <w:ilvl w:val="0"/>
          <w:numId w:val="31"/>
        </w:num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3E74A3">
        <w:rPr>
          <w:rFonts w:ascii="Bookman Old Style" w:hAnsi="Bookman Old Style"/>
          <w:sz w:val="22"/>
          <w:szCs w:val="22"/>
        </w:rPr>
        <w:t>L’assistant universitaire devra participer au déploiement de la 4</w:t>
      </w:r>
      <w:r w:rsidRPr="003E74A3">
        <w:rPr>
          <w:rFonts w:ascii="Bookman Old Style" w:hAnsi="Bookman Old Style"/>
          <w:sz w:val="22"/>
          <w:szCs w:val="22"/>
          <w:vertAlign w:val="superscript"/>
        </w:rPr>
        <w:t>ième</w:t>
      </w:r>
      <w:r w:rsidRPr="003E74A3">
        <w:rPr>
          <w:rFonts w:ascii="Bookman Old Style" w:hAnsi="Bookman Old Style"/>
          <w:sz w:val="22"/>
          <w:szCs w:val="22"/>
        </w:rPr>
        <w:t xml:space="preserve"> année du DES de médecine générale et le futur accueil des docteurs juniors (</w:t>
      </w:r>
      <w:r w:rsidR="00DB6DCE" w:rsidRPr="003E74A3">
        <w:rPr>
          <w:rFonts w:ascii="Bookman Old Style" w:hAnsi="Bookman Old Style"/>
          <w:sz w:val="22"/>
          <w:szCs w:val="22"/>
        </w:rPr>
        <w:t>suivi des</w:t>
      </w:r>
      <w:r w:rsidRPr="003E74A3">
        <w:rPr>
          <w:rFonts w:ascii="Bookman Old Style" w:hAnsi="Bookman Old Style"/>
          <w:sz w:val="22"/>
          <w:szCs w:val="22"/>
        </w:rPr>
        <w:t xml:space="preserve"> MSU et des Dr Juniors, participation à des réunions d’accueil)</w:t>
      </w:r>
    </w:p>
    <w:p w14:paraId="6C3E5122" w14:textId="5F088EEA" w:rsidR="00A0499C" w:rsidRPr="00A0499C" w:rsidRDefault="00A0499C" w:rsidP="00A0499C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 w:rsidRPr="003E74A3">
        <w:rPr>
          <w:rFonts w:ascii="Bookman Old Style" w:hAnsi="Bookman Old Style"/>
          <w:sz w:val="22"/>
          <w:szCs w:val="22"/>
        </w:rPr>
        <w:t xml:space="preserve">L’assistant pourra s’appuyer </w:t>
      </w:r>
      <w:r w:rsidR="00DB6DCE" w:rsidRPr="003E74A3">
        <w:rPr>
          <w:rFonts w:ascii="Bookman Old Style" w:hAnsi="Bookman Old Style"/>
          <w:sz w:val="22"/>
          <w:szCs w:val="22"/>
        </w:rPr>
        <w:t>sur la délégation départementale de l’ARS, les élus et les CPTS du territoire pour</w:t>
      </w:r>
      <w:r w:rsidR="003676B7" w:rsidRPr="003E74A3">
        <w:rPr>
          <w:rFonts w:ascii="Bookman Old Style" w:hAnsi="Bookman Old Style"/>
          <w:sz w:val="22"/>
          <w:szCs w:val="22"/>
        </w:rPr>
        <w:t xml:space="preserve"> </w:t>
      </w:r>
      <w:r w:rsidR="00DB6DCE" w:rsidRPr="003E74A3">
        <w:rPr>
          <w:rFonts w:ascii="Bookman Old Style" w:hAnsi="Bookman Old Style"/>
          <w:sz w:val="22"/>
          <w:szCs w:val="22"/>
        </w:rPr>
        <w:t>l’accompagner.</w:t>
      </w:r>
      <w:r w:rsidR="00DB6DCE">
        <w:rPr>
          <w:rFonts w:ascii="Bookman Old Style" w:hAnsi="Bookman Old Style"/>
          <w:sz w:val="22"/>
          <w:szCs w:val="22"/>
        </w:rPr>
        <w:t xml:space="preserve"> </w:t>
      </w:r>
    </w:p>
    <w:p w14:paraId="04D57A61" w14:textId="77777777" w:rsidR="00A97B0B" w:rsidRDefault="00A97B0B" w:rsidP="00C0465D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 partie soins, la partie universitaire et la</w:t>
      </w:r>
      <w:r w:rsidR="0020663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partie recherche doivent être clairement définies </w:t>
      </w:r>
      <w:r w:rsidR="00206635">
        <w:rPr>
          <w:rFonts w:ascii="Bookman Old Style" w:hAnsi="Bookman Old Style"/>
          <w:sz w:val="22"/>
          <w:szCs w:val="22"/>
        </w:rPr>
        <w:t>dans</w:t>
      </w:r>
      <w:r>
        <w:rPr>
          <w:rFonts w:ascii="Bookman Old Style" w:hAnsi="Bookman Old Style"/>
          <w:sz w:val="22"/>
          <w:szCs w:val="22"/>
        </w:rPr>
        <w:t xml:space="preserve"> le projet co-construit entre les </w:t>
      </w:r>
      <w:r w:rsidR="00206635">
        <w:rPr>
          <w:rFonts w:ascii="Bookman Old Style" w:hAnsi="Bookman Old Style"/>
          <w:sz w:val="22"/>
          <w:szCs w:val="22"/>
        </w:rPr>
        <w:t>partenaires et les quotités doiv</w:t>
      </w:r>
      <w:r>
        <w:rPr>
          <w:rFonts w:ascii="Bookman Old Style" w:hAnsi="Bookman Old Style"/>
          <w:sz w:val="22"/>
          <w:szCs w:val="22"/>
        </w:rPr>
        <w:t xml:space="preserve">ent </w:t>
      </w:r>
      <w:r w:rsidR="00206635">
        <w:rPr>
          <w:rFonts w:ascii="Bookman Old Style" w:hAnsi="Bookman Old Style"/>
          <w:sz w:val="22"/>
          <w:szCs w:val="22"/>
        </w:rPr>
        <w:t xml:space="preserve">être précisées </w:t>
      </w:r>
      <w:r>
        <w:rPr>
          <w:rFonts w:ascii="Bookman Old Style" w:hAnsi="Bookman Old Style"/>
          <w:sz w:val="22"/>
          <w:szCs w:val="22"/>
        </w:rPr>
        <w:t>en demi-journées.</w:t>
      </w:r>
    </w:p>
    <w:p w14:paraId="0CC49BE8" w14:textId="2079D4CA" w:rsidR="00A97B0B" w:rsidRPr="00C0465D" w:rsidRDefault="00206635" w:rsidP="00C0465D">
      <w:pPr>
        <w:spacing w:after="20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Les</w:t>
      </w:r>
      <w:r w:rsidR="00A97B0B">
        <w:rPr>
          <w:rFonts w:ascii="Bookman Old Style" w:hAnsi="Bookman Old Style"/>
          <w:sz w:val="22"/>
          <w:szCs w:val="22"/>
        </w:rPr>
        <w:t xml:space="preserve"> AUMG sont recrutés pour une période de deux ans du 1</w:t>
      </w:r>
      <w:r w:rsidR="00A97B0B" w:rsidRPr="00C0465D">
        <w:rPr>
          <w:rFonts w:ascii="Bookman Old Style" w:hAnsi="Bookman Old Style"/>
          <w:sz w:val="22"/>
          <w:szCs w:val="22"/>
          <w:vertAlign w:val="superscript"/>
        </w:rPr>
        <w:t>er</w:t>
      </w:r>
      <w:r w:rsidR="00A97B0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no</w:t>
      </w:r>
      <w:r w:rsidR="00A97B0B">
        <w:rPr>
          <w:rFonts w:ascii="Bookman Old Style" w:hAnsi="Bookman Old Style"/>
          <w:sz w:val="22"/>
          <w:szCs w:val="22"/>
        </w:rPr>
        <w:t>vembre 202</w:t>
      </w:r>
      <w:r w:rsidR="003E74A3">
        <w:rPr>
          <w:rFonts w:ascii="Bookman Old Style" w:hAnsi="Bookman Old Style"/>
          <w:sz w:val="22"/>
          <w:szCs w:val="22"/>
        </w:rPr>
        <w:t>5</w:t>
      </w:r>
      <w:r w:rsidR="00A97B0B">
        <w:rPr>
          <w:rFonts w:ascii="Bookman Old Style" w:hAnsi="Bookman Old Style"/>
          <w:sz w:val="22"/>
          <w:szCs w:val="22"/>
        </w:rPr>
        <w:t xml:space="preserve"> au 31 octobre 202</w:t>
      </w:r>
      <w:r w:rsidR="003E74A3">
        <w:rPr>
          <w:rFonts w:ascii="Bookman Old Style" w:hAnsi="Bookman Old Style"/>
          <w:sz w:val="22"/>
          <w:szCs w:val="22"/>
        </w:rPr>
        <w:t>7</w:t>
      </w:r>
      <w:r w:rsidR="00A97B0B">
        <w:rPr>
          <w:rFonts w:ascii="Bookman Old Style" w:hAnsi="Bookman Old Style"/>
          <w:sz w:val="22"/>
          <w:szCs w:val="22"/>
        </w:rPr>
        <w:t xml:space="preserve">. </w:t>
      </w:r>
    </w:p>
    <w:p w14:paraId="6D9DBD63" w14:textId="77777777" w:rsidR="00422EC8" w:rsidRDefault="00422EC8" w:rsidP="001D0EDD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57778250" w14:textId="77777777" w:rsidR="001D0EDD" w:rsidRPr="00C0465D" w:rsidRDefault="001D0EDD" w:rsidP="00C0465D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0465D">
        <w:rPr>
          <w:rFonts w:ascii="Bookman Old Style" w:hAnsi="Bookman Old Style"/>
          <w:b/>
          <w:sz w:val="22"/>
          <w:szCs w:val="22"/>
          <w:u w:val="single"/>
        </w:rPr>
        <w:t>Objectifs du dispositif</w:t>
      </w:r>
    </w:p>
    <w:p w14:paraId="1ECF20F0" w14:textId="77777777" w:rsidR="00892FAD" w:rsidRPr="00C32D8F" w:rsidRDefault="00892FAD" w:rsidP="001D0EDD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0B2F63EB" w14:textId="77777777"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Soutenir des projets professionnels cliniques/universitaires en permettant à de jeunes médecins de parfaire leur formation post-internat</w:t>
      </w:r>
      <w:r w:rsidR="00C32D8F">
        <w:rPr>
          <w:rFonts w:ascii="Bookman Old Style" w:hAnsi="Bookman Old Style"/>
          <w:sz w:val="22"/>
          <w:szCs w:val="22"/>
        </w:rPr>
        <w:t>.</w:t>
      </w:r>
    </w:p>
    <w:p w14:paraId="3418E1D9" w14:textId="77777777" w:rsidR="00CD5792" w:rsidRPr="00C32D8F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399D1381" w14:textId="77777777"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Soutenir la médecine de premier recours notamment dans des territoires fragiles</w:t>
      </w:r>
    </w:p>
    <w:p w14:paraId="5A021540" w14:textId="77777777" w:rsidR="00CD5792" w:rsidRPr="00C32D8F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1CF62CD7" w14:textId="77777777" w:rsidR="00CD5792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Participer à l’encadrement d’internes et/ou d’externes</w:t>
      </w:r>
    </w:p>
    <w:p w14:paraId="2B22FFDC" w14:textId="77777777" w:rsidR="001D0EDD" w:rsidRPr="00C32D8F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 </w:t>
      </w:r>
    </w:p>
    <w:p w14:paraId="78BE66E5" w14:textId="77777777"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Renforcer la filière Universitaire de Médecine Générale en soutenant les moyens dévolus aux Départements de Médecine Générale des Universités.</w:t>
      </w:r>
    </w:p>
    <w:p w14:paraId="3B7E6670" w14:textId="77777777" w:rsidR="00CD5792" w:rsidRPr="00C32D8F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7B2CAB47" w14:textId="77777777" w:rsidR="001D0EDD" w:rsidRDefault="00CD579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sym w:font="Wingdings" w:char="F0C4"/>
      </w:r>
      <w:r>
        <w:rPr>
          <w:rFonts w:ascii="Bookman Old Style" w:hAnsi="Bookman Old Style"/>
          <w:sz w:val="22"/>
          <w:szCs w:val="22"/>
        </w:rPr>
        <w:t xml:space="preserve"> </w:t>
      </w:r>
      <w:r w:rsidR="001D0EDD" w:rsidRPr="00C32D8F">
        <w:rPr>
          <w:rFonts w:ascii="Bookman Old Style" w:hAnsi="Bookman Old Style"/>
          <w:sz w:val="22"/>
          <w:szCs w:val="22"/>
        </w:rPr>
        <w:t>Accompagner l’évolution du système de santé sur le Territoire</w:t>
      </w:r>
    </w:p>
    <w:p w14:paraId="6D8716CF" w14:textId="77777777" w:rsidR="00DB6DCE" w:rsidRDefault="00DB6DCE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14D291BE" w14:textId="6C9B8872" w:rsidR="00DB6DCE" w:rsidRDefault="00DB6DCE" w:rsidP="00DB6DCE">
      <w:pPr>
        <w:jc w:val="both"/>
        <w:rPr>
          <w:rFonts w:ascii="Bookman Old Style" w:hAnsi="Bookman Old Style"/>
          <w:sz w:val="22"/>
          <w:szCs w:val="22"/>
        </w:rPr>
      </w:pPr>
      <w:r w:rsidRPr="003E74A3">
        <w:rPr>
          <w:rFonts w:ascii="Bookman Old Style" w:hAnsi="Bookman Old Style"/>
          <w:sz w:val="22"/>
          <w:szCs w:val="22"/>
        </w:rPr>
        <w:sym w:font="Wingdings" w:char="F0C4"/>
      </w:r>
      <w:r w:rsidRPr="003E74A3">
        <w:rPr>
          <w:rFonts w:ascii="Bookman Old Style" w:hAnsi="Bookman Old Style"/>
          <w:sz w:val="22"/>
          <w:szCs w:val="22"/>
        </w:rPr>
        <w:t xml:space="preserve"> Développer les stages à destination des internes et/ou externes </w:t>
      </w:r>
      <w:r w:rsidR="003676B7" w:rsidRPr="003E74A3">
        <w:rPr>
          <w:rFonts w:ascii="Bookman Old Style" w:hAnsi="Bookman Old Style"/>
          <w:sz w:val="22"/>
          <w:szCs w:val="22"/>
        </w:rPr>
        <w:t>sur son territoire d’exercice</w:t>
      </w:r>
    </w:p>
    <w:p w14:paraId="1714261A" w14:textId="77777777" w:rsidR="00DB6DCE" w:rsidRDefault="00DB6DCE" w:rsidP="00DB6DCE">
      <w:pPr>
        <w:jc w:val="both"/>
        <w:rPr>
          <w:rFonts w:ascii="Bookman Old Style" w:hAnsi="Bookman Old Style"/>
          <w:sz w:val="22"/>
          <w:szCs w:val="22"/>
        </w:rPr>
      </w:pPr>
    </w:p>
    <w:p w14:paraId="3AB6DD86" w14:textId="77777777" w:rsidR="00A714AF" w:rsidRDefault="00A714AF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145D381F" w14:textId="77777777" w:rsidR="00422EC8" w:rsidRDefault="00422EC8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573EB9F4" w14:textId="77777777" w:rsidR="00710609" w:rsidRPr="00C0465D" w:rsidRDefault="00710609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L</w:t>
      </w:r>
      <w:r w:rsidR="00A714AF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es pré-requis</w:t>
      </w:r>
      <w:r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 </w:t>
      </w:r>
      <w:r w:rsidR="00A714AF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pour déposer </w:t>
      </w:r>
      <w:r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une </w:t>
      </w:r>
      <w:r w:rsidR="007C0D5D" w:rsidRPr="00C0465D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candidature</w:t>
      </w:r>
    </w:p>
    <w:p w14:paraId="1C70A46D" w14:textId="6039BC54"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>Le candidat doit être diplômé du DE</w:t>
      </w:r>
      <w:r w:rsidR="00997DC6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de médecine générale et obligatoirement inscrit à l’ordre au 1</w:t>
      </w:r>
      <w:r w:rsidRPr="00434CA6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382A7B" w:rsidRPr="00434CA6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</w:t>
      </w:r>
      <w:r w:rsidR="00382A7B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202</w:t>
      </w:r>
      <w:r w:rsidR="00DB6DCE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5</w:t>
      </w: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14:paraId="2860BAD2" w14:textId="77777777"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21EBE03C" w14:textId="77777777"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projet de création de poste doit être clairement défini pour la partie soins et universitaire. </w:t>
      </w:r>
    </w:p>
    <w:p w14:paraId="71061E62" w14:textId="77777777" w:rsidR="00710609" w:rsidRDefault="00710609" w:rsidP="00710609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12C88579" w14:textId="77777777" w:rsidR="00710609" w:rsidRPr="00C32D8F" w:rsidRDefault="00710609" w:rsidP="00710609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 xml:space="preserve">Le dispositif 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concerne </w:t>
      </w:r>
      <w:r w:rsidRPr="00C32D8F">
        <w:rPr>
          <w:rFonts w:ascii="Bookman Old Style" w:hAnsi="Bookman Old Style" w:cs="Arial"/>
          <w:sz w:val="22"/>
          <w:szCs w:val="22"/>
        </w:rPr>
        <w:t>des jeunes médecins en post internat</w:t>
      </w:r>
      <w:r>
        <w:rPr>
          <w:rFonts w:ascii="Bookman Old Style" w:hAnsi="Bookman Old Style" w:cs="Arial"/>
          <w:sz w:val="22"/>
          <w:szCs w:val="22"/>
        </w:rPr>
        <w:t>.</w:t>
      </w:r>
    </w:p>
    <w:p w14:paraId="31B52DC7" w14:textId="77777777" w:rsidR="00710609" w:rsidRPr="00C32D8F" w:rsidRDefault="00710609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0EA9F553" w14:textId="77777777" w:rsidR="001D0EDD" w:rsidRPr="00C32D8F" w:rsidRDefault="001D0EDD" w:rsidP="001D0EDD">
      <w:pPr>
        <w:jc w:val="both"/>
        <w:rPr>
          <w:rFonts w:ascii="Bookman Old Style" w:hAnsi="Bookman Old Style"/>
          <w:sz w:val="22"/>
          <w:szCs w:val="22"/>
        </w:rPr>
      </w:pPr>
    </w:p>
    <w:p w14:paraId="29353650" w14:textId="77777777" w:rsidR="00727E0A" w:rsidRPr="00710609" w:rsidRDefault="00727E0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</w:pPr>
      <w:r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L</w:t>
      </w:r>
      <w:r w:rsidR="00BF4E89"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es</w:t>
      </w:r>
      <w:r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 xml:space="preserve"> </w:t>
      </w:r>
      <w:r w:rsidR="00B143D1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 xml:space="preserve">modalités </w:t>
      </w:r>
      <w:r w:rsidR="00B143D1"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de</w:t>
      </w:r>
      <w:r w:rsidRPr="00710609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 xml:space="preserve"> </w:t>
      </w:r>
      <w:r w:rsidR="000F4452">
        <w:rPr>
          <w:rFonts w:ascii="Bookman Old Style" w:eastAsia="Calibri" w:hAnsi="Bookman Old Style"/>
          <w:b/>
          <w:color w:val="17365D" w:themeColor="text2" w:themeShade="BF"/>
          <w:sz w:val="22"/>
          <w:szCs w:val="22"/>
          <w:lang w:eastAsia="en-US"/>
        </w:rPr>
        <w:t>financement</w:t>
      </w:r>
    </w:p>
    <w:p w14:paraId="797167A3" w14:textId="77777777" w:rsidR="001D0EDD" w:rsidRPr="00C32D8F" w:rsidRDefault="001D0EDD" w:rsidP="00F70003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C32D8F">
        <w:rPr>
          <w:rFonts w:ascii="Bookman Old Style" w:hAnsi="Bookman Old Style"/>
          <w:sz w:val="22"/>
          <w:szCs w:val="22"/>
        </w:rPr>
        <w:t>Le recrutement est pris en charge à hauteur de 100% de la part universitaire du poste, calculée sur la base de la rémunération d’un CCU-MG</w:t>
      </w:r>
      <w:r w:rsidRPr="00C32D8F">
        <w:rPr>
          <w:rStyle w:val="Appelnotedebasdep"/>
          <w:rFonts w:ascii="Bookman Old Style" w:hAnsi="Bookman Old Style"/>
          <w:sz w:val="22"/>
          <w:szCs w:val="22"/>
        </w:rPr>
        <w:footnoteReference w:id="1"/>
      </w:r>
      <w:r w:rsidRPr="00C32D8F">
        <w:rPr>
          <w:rFonts w:ascii="Bookman Old Style" w:hAnsi="Bookman Old Style"/>
          <w:sz w:val="22"/>
          <w:szCs w:val="22"/>
        </w:rPr>
        <w:t xml:space="preserve"> premier échelon. </w:t>
      </w:r>
    </w:p>
    <w:p w14:paraId="0EA1CA7C" w14:textId="77777777" w:rsidR="00C32D8F" w:rsidRPr="00C32D8F" w:rsidRDefault="00C32D8F" w:rsidP="00F70003">
      <w:pPr>
        <w:jc w:val="both"/>
        <w:rPr>
          <w:rFonts w:ascii="Bookman Old Style" w:hAnsi="Bookman Old Style"/>
          <w:b/>
          <w:color w:val="0070C0"/>
          <w:sz w:val="22"/>
          <w:szCs w:val="22"/>
          <w:u w:val="single"/>
        </w:rPr>
      </w:pPr>
    </w:p>
    <w:p w14:paraId="6FE1AAAB" w14:textId="77777777" w:rsidR="001D0EDD" w:rsidRDefault="001D0EDD" w:rsidP="00F70003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Une convention </w:t>
      </w:r>
      <w:r w:rsidR="00F53C73">
        <w:rPr>
          <w:rFonts w:ascii="Bookman Old Style" w:hAnsi="Bookman Old Style"/>
          <w:sz w:val="22"/>
          <w:szCs w:val="22"/>
        </w:rPr>
        <w:t xml:space="preserve">de financement FIR </w:t>
      </w:r>
      <w:r w:rsidR="00AE13C9">
        <w:rPr>
          <w:rFonts w:ascii="Bookman Old Style" w:hAnsi="Bookman Old Style"/>
          <w:sz w:val="22"/>
          <w:szCs w:val="22"/>
        </w:rPr>
        <w:t xml:space="preserve">sera </w:t>
      </w:r>
      <w:r w:rsidR="00BF4E89">
        <w:rPr>
          <w:rFonts w:ascii="Bookman Old Style" w:hAnsi="Bookman Old Style"/>
          <w:sz w:val="22"/>
          <w:szCs w:val="22"/>
        </w:rPr>
        <w:t>signée</w:t>
      </w:r>
      <w:r w:rsidR="00101CE4" w:rsidRPr="00C32D8F">
        <w:rPr>
          <w:rFonts w:ascii="Bookman Old Style" w:hAnsi="Bookman Old Style"/>
          <w:sz w:val="22"/>
          <w:szCs w:val="22"/>
        </w:rPr>
        <w:t xml:space="preserve"> </w:t>
      </w:r>
      <w:r w:rsidRPr="00C32D8F">
        <w:rPr>
          <w:rFonts w:ascii="Bookman Old Style" w:hAnsi="Bookman Old Style"/>
          <w:sz w:val="22"/>
          <w:szCs w:val="22"/>
        </w:rPr>
        <w:t>entre l’ARS PACA et l’Université</w:t>
      </w:r>
      <w:r w:rsidR="00B143D1">
        <w:rPr>
          <w:rFonts w:ascii="Bookman Old Style" w:hAnsi="Bookman Old Style"/>
          <w:sz w:val="22"/>
          <w:szCs w:val="22"/>
        </w:rPr>
        <w:t xml:space="preserve"> bénéficiaire.</w:t>
      </w:r>
    </w:p>
    <w:p w14:paraId="3F5D6818" w14:textId="77777777" w:rsidR="001D0EDD" w:rsidRPr="00C32D8F" w:rsidRDefault="001D0EDD" w:rsidP="00F70003">
      <w:pPr>
        <w:jc w:val="both"/>
        <w:rPr>
          <w:rFonts w:ascii="Bookman Old Style" w:hAnsi="Bookman Old Style"/>
          <w:sz w:val="22"/>
          <w:szCs w:val="22"/>
        </w:rPr>
      </w:pPr>
    </w:p>
    <w:p w14:paraId="7D6F31DD" w14:textId="77777777" w:rsidR="009B5137" w:rsidRDefault="009B5137" w:rsidP="00F70003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>Les AUMG sont recrutés sous le statut d’agents contractuels de chef de clinique</w:t>
      </w:r>
      <w:r w:rsidR="00385BE9">
        <w:rPr>
          <w:rFonts w:ascii="Bookman Old Style" w:hAnsi="Bookman Old Style"/>
          <w:sz w:val="22"/>
          <w:szCs w:val="22"/>
        </w:rPr>
        <w:t xml:space="preserve"> </w:t>
      </w:r>
      <w:r w:rsidRPr="00C32D8F">
        <w:rPr>
          <w:rFonts w:ascii="Bookman Old Style" w:hAnsi="Bookman Old Style"/>
          <w:sz w:val="22"/>
          <w:szCs w:val="22"/>
        </w:rPr>
        <w:t>des universités.</w:t>
      </w:r>
    </w:p>
    <w:p w14:paraId="2DD8E0A0" w14:textId="77777777" w:rsidR="00B143D1" w:rsidRPr="00C32D8F" w:rsidRDefault="00B143D1" w:rsidP="00F70003">
      <w:pPr>
        <w:jc w:val="both"/>
        <w:rPr>
          <w:rFonts w:ascii="Bookman Old Style" w:hAnsi="Bookman Old Style"/>
          <w:sz w:val="22"/>
          <w:szCs w:val="22"/>
        </w:rPr>
      </w:pPr>
    </w:p>
    <w:p w14:paraId="742E1EFB" w14:textId="77777777" w:rsidR="009B5137" w:rsidRPr="00C32D8F" w:rsidRDefault="009B5137" w:rsidP="00F70003">
      <w:pPr>
        <w:jc w:val="both"/>
        <w:rPr>
          <w:rFonts w:ascii="Bookman Old Style" w:hAnsi="Bookman Old Style"/>
          <w:sz w:val="22"/>
          <w:szCs w:val="22"/>
        </w:rPr>
      </w:pPr>
      <w:r w:rsidRPr="00C32D8F">
        <w:rPr>
          <w:rFonts w:ascii="Bookman Old Style" w:hAnsi="Bookman Old Style"/>
          <w:sz w:val="22"/>
          <w:szCs w:val="22"/>
        </w:rPr>
        <w:t xml:space="preserve">Pour la part soins du poste, les AUMG peuvent être collaborateurs libéraux, </w:t>
      </w:r>
      <w:r w:rsidR="00EC59CB" w:rsidRPr="00C32D8F">
        <w:rPr>
          <w:rFonts w:ascii="Bookman Old Style" w:hAnsi="Bookman Old Style"/>
          <w:sz w:val="22"/>
          <w:szCs w:val="22"/>
        </w:rPr>
        <w:t>install</w:t>
      </w:r>
      <w:r w:rsidR="00EC59CB">
        <w:rPr>
          <w:rFonts w:ascii="Bookman Old Style" w:hAnsi="Bookman Old Style"/>
          <w:sz w:val="22"/>
          <w:szCs w:val="22"/>
        </w:rPr>
        <w:t>é</w:t>
      </w:r>
      <w:r w:rsidR="00EC59CB" w:rsidRPr="00C32D8F">
        <w:rPr>
          <w:rFonts w:ascii="Bookman Old Style" w:hAnsi="Bookman Old Style"/>
          <w:sz w:val="22"/>
          <w:szCs w:val="22"/>
        </w:rPr>
        <w:t xml:space="preserve">s </w:t>
      </w:r>
      <w:r w:rsidRPr="00C32D8F">
        <w:rPr>
          <w:rFonts w:ascii="Bookman Old Style" w:hAnsi="Bookman Old Style"/>
          <w:sz w:val="22"/>
          <w:szCs w:val="22"/>
        </w:rPr>
        <w:t>ou salariés en centre de santé.</w:t>
      </w:r>
    </w:p>
    <w:p w14:paraId="2867809E" w14:textId="77777777" w:rsidR="009B5137" w:rsidRPr="00C32D8F" w:rsidRDefault="009B5137" w:rsidP="00F70003">
      <w:pPr>
        <w:jc w:val="both"/>
        <w:rPr>
          <w:rFonts w:ascii="Bookman Old Style" w:hAnsi="Bookman Old Style"/>
          <w:sz w:val="22"/>
          <w:szCs w:val="22"/>
        </w:rPr>
      </w:pPr>
    </w:p>
    <w:p w14:paraId="25BDE393" w14:textId="77777777" w:rsidR="000945D3" w:rsidRDefault="009B5137" w:rsidP="00F70003">
      <w:pPr>
        <w:spacing w:after="200" w:line="276" w:lineRule="auto"/>
        <w:jc w:val="both"/>
        <w:rPr>
          <w:rFonts w:ascii="Bookman Old Style" w:eastAsia="Calibri" w:hAnsi="Bookman Old Style"/>
          <w:i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i/>
          <w:sz w:val="22"/>
          <w:szCs w:val="22"/>
          <w:lang w:eastAsia="en-US"/>
        </w:rPr>
        <w:t xml:space="preserve">Pour rappel, les AUMG ne </w:t>
      </w:r>
      <w:r w:rsidR="00C32D8F" w:rsidRPr="00C32D8F">
        <w:rPr>
          <w:rFonts w:ascii="Bookman Old Style" w:eastAsia="Calibri" w:hAnsi="Bookman Old Style"/>
          <w:i/>
          <w:sz w:val="22"/>
          <w:szCs w:val="22"/>
          <w:lang w:eastAsia="en-US"/>
        </w:rPr>
        <w:t>reçoivent</w:t>
      </w:r>
      <w:r w:rsidRPr="00C32D8F">
        <w:rPr>
          <w:rFonts w:ascii="Bookman Old Style" w:eastAsia="Calibri" w:hAnsi="Bookman Old Style"/>
          <w:i/>
          <w:sz w:val="22"/>
          <w:szCs w:val="22"/>
          <w:lang w:eastAsia="en-US"/>
        </w:rPr>
        <w:t xml:space="preserve"> pas le complément de rémunération pour la part soins du poste comme c’est le cas pour les CCU MG.</w:t>
      </w:r>
    </w:p>
    <w:p w14:paraId="4FF660D0" w14:textId="77777777" w:rsidR="00CF471A" w:rsidRPr="00C32D8F" w:rsidRDefault="00CF471A" w:rsidP="00727E0A">
      <w:pPr>
        <w:spacing w:after="200" w:line="276" w:lineRule="auto"/>
        <w:rPr>
          <w:rFonts w:ascii="Bookman Old Style" w:eastAsia="Calibri" w:hAnsi="Bookman Old Style"/>
          <w:i/>
          <w:sz w:val="22"/>
          <w:szCs w:val="22"/>
          <w:lang w:eastAsia="en-US"/>
        </w:rPr>
      </w:pPr>
    </w:p>
    <w:p w14:paraId="39ECE747" w14:textId="3D788380" w:rsidR="00064312" w:rsidRPr="004424EE" w:rsidRDefault="00727E0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LA STRATEGIE </w:t>
      </w:r>
      <w:r w:rsidR="00BE5F4A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relative aux A</w:t>
      </w:r>
      <w:r w:rsidR="001D0EDD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UMG</w:t>
      </w:r>
      <w:r w:rsidR="00BE5F4A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 xml:space="preserve"> </w:t>
      </w:r>
      <w:r w:rsidR="00710609" w:rsidRPr="004424EE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202</w:t>
      </w:r>
      <w:r w:rsidR="003676B7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5</w:t>
      </w:r>
    </w:p>
    <w:p w14:paraId="50715A52" w14:textId="62E8E29B" w:rsidR="009B5137" w:rsidRPr="00C32D8F" w:rsidRDefault="00C32D8F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Il apparait pertinent de d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évelopper ce dispositif complémentaire des ASTP </w:t>
      </w:r>
      <w:r w:rsidR="00DB6DCE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car il répond 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à des besoins</w:t>
      </w:r>
      <w:r w:rsidR="00DB6DCE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à des profils de candidats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différents.</w:t>
      </w:r>
    </w:p>
    <w:p w14:paraId="27A2D93A" w14:textId="77777777" w:rsidR="009B5137" w:rsidRPr="00C32D8F" w:rsidRDefault="009B5137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Ce dispositif peut utilement </w:t>
      </w:r>
      <w:r w:rsidRPr="00C32D8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soutenir la médecine de premier recours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apporter un renfort aux départements universitaires de MG.</w:t>
      </w:r>
    </w:p>
    <w:p w14:paraId="2D744CF4" w14:textId="77777777" w:rsidR="009B5137" w:rsidRPr="008528BB" w:rsidRDefault="00C32D8F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Il devrait également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favoriser le </w:t>
      </w:r>
      <w:r w:rsidR="009B5137" w:rsidRPr="00C32D8F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développement des maitres de stage universitaires</w:t>
      </w:r>
      <w:r w:rsidR="009B5137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, et renforcer les liens entre 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structures de soins et universités.</w:t>
      </w:r>
      <w:r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 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Les AUMG peuve</w:t>
      </w:r>
      <w:r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nt devenir maitre de stage (MSU)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  <w:r w:rsidR="004D7E4C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>après</w:t>
      </w:r>
      <w:r w:rsidR="009B5137" w:rsidRPr="00FC5B5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1 an d’exercice de la médecine </w:t>
      </w:r>
      <w:r w:rsidR="009B5137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pour être MSU d’externes et 3 ans d’exercice de la médecine pour être MSU d’internes.</w:t>
      </w:r>
    </w:p>
    <w:p w14:paraId="61B90009" w14:textId="77777777" w:rsidR="009B2E14" w:rsidRDefault="00310880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es </w:t>
      </w:r>
      <w:r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AUMG 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pourront </w:t>
      </w:r>
      <w:r w:rsidR="00E909C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faire la promotion et 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développer et/ou promouvoir un dispositif de formation dématérialisé (e-learning) à destination des futurs MSU notamment les plus éloignés. L’un des objectifs de l’ARS à travers ces postes d’AUMG est d’augmenter le nombre de MSU sur le territoire</w:t>
      </w:r>
      <w:r w:rsidR="0029514A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, notamment en vue de la 4</w:t>
      </w:r>
      <w:r w:rsidR="0029514A" w:rsidRPr="008528BB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ème</w:t>
      </w:r>
      <w:r w:rsidR="0029514A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année du DES de médecine générale</w:t>
      </w:r>
      <w:r w:rsidR="009B2E14" w:rsidRPr="008528BB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14:paraId="1143397B" w14:textId="77777777" w:rsidR="009B2E14" w:rsidRPr="009B2E14" w:rsidRDefault="009B2E14" w:rsidP="009B2E14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Les AUMG</w:t>
      </w:r>
      <w:r w:rsidRPr="009B2E1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doivent devenir des ambassadeurs promoteurs du dispositif de maitre de stage universitaire.</w:t>
      </w:r>
    </w:p>
    <w:p w14:paraId="5B00DFDA" w14:textId="77777777" w:rsidR="000C7E58" w:rsidRPr="00C32D8F" w:rsidRDefault="00E87E4C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Certai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ns AUMG</w:t>
      </w:r>
      <w:r w:rsid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peuvent avoir u</w:t>
      </w:r>
      <w:r w:rsidR="00101CE4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 projet </w:t>
      </w:r>
      <w:r w:rsidR="00C32D8F">
        <w:rPr>
          <w:rFonts w:ascii="Bookman Old Style" w:eastAsia="Calibri" w:hAnsi="Bookman Old Style"/>
          <w:bCs/>
          <w:sz w:val="22"/>
          <w:szCs w:val="22"/>
          <w:lang w:eastAsia="en-US"/>
        </w:rPr>
        <w:t>d</w:t>
      </w:r>
      <w:r w:rsidR="00101CE4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e création de MSP durant leur contrat en tant qu’AUMG</w:t>
      </w:r>
      <w:r w:rsidR="00C32D8F">
        <w:rPr>
          <w:rFonts w:ascii="Bookman Old Style" w:eastAsia="Calibri" w:hAnsi="Bookman Old Style"/>
          <w:bCs/>
          <w:sz w:val="22"/>
          <w:szCs w:val="22"/>
          <w:lang w:eastAsia="en-US"/>
        </w:rPr>
        <w:t>, ce qui correspond à un objectif stratégique de l’ARS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</w:p>
    <w:p w14:paraId="4B988290" w14:textId="77777777" w:rsidR="00892FAD" w:rsidRDefault="00892FAD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5556E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Les lieux d’exercice devront se situer dans des zones où l’offre de soins est insuffisante ou avec des difficultés d’accès aux soins pour la profession de médecin </w:t>
      </w:r>
      <w:r w:rsidRPr="00C5556E">
        <w:rPr>
          <w:rFonts w:ascii="Bookman Old Style" w:eastAsia="Calibri" w:hAnsi="Bookman Old Style"/>
          <w:bCs/>
          <w:sz w:val="22"/>
          <w:szCs w:val="22"/>
          <w:lang w:eastAsia="en-US"/>
        </w:rPr>
        <w:lastRenderedPageBreak/>
        <w:t>(ZIP : zone d’intervention prioritaire ou ZAC : zone d’action complémentaire</w:t>
      </w:r>
      <w:r w:rsidRPr="00CA7E72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  <w:r w:rsidR="009111C4">
        <w:rPr>
          <w:rFonts w:ascii="Bookman Old Style" w:eastAsia="Calibri" w:hAnsi="Bookman Old Style"/>
          <w:bCs/>
          <w:sz w:val="22"/>
          <w:szCs w:val="22"/>
          <w:lang w:eastAsia="en-US"/>
        </w:rPr>
        <w:t>)</w:t>
      </w:r>
      <w:r w:rsidRPr="004D7E4C">
        <w:rPr>
          <w:rFonts w:ascii="Bookman Old Style" w:eastAsia="Calibri" w:hAnsi="Bookman Old Style"/>
          <w:bCs/>
          <w:strike/>
          <w:sz w:val="22"/>
          <w:szCs w:val="22"/>
          <w:lang w:eastAsia="en-US"/>
        </w:rPr>
        <w:t xml:space="preserve"> </w:t>
      </w:r>
      <w:r w:rsidR="004D7E4C" w:rsidRPr="00CA7E7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Pourront également être acceptés en fonction du projet </w:t>
      </w:r>
      <w:r w:rsidRPr="00C5556E">
        <w:rPr>
          <w:rFonts w:ascii="Bookman Old Style" w:eastAsia="Calibri" w:hAnsi="Bookman Old Style"/>
          <w:bCs/>
          <w:sz w:val="22"/>
          <w:szCs w:val="22"/>
          <w:lang w:eastAsia="en-US"/>
        </w:rPr>
        <w:t>les quartiers politiques de la ville (QPV) ou zone de revitalisation rurale (ZRR).</w:t>
      </w:r>
    </w:p>
    <w:p w14:paraId="34D5BC62" w14:textId="77777777" w:rsidR="00892FAD" w:rsidRPr="00E87E4C" w:rsidRDefault="00892FAD" w:rsidP="000C7E58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14:paraId="06A8CEED" w14:textId="77777777" w:rsidR="000945D3" w:rsidRPr="00BE5F4A" w:rsidRDefault="00BE5F4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BE5F4A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MODUS OPERATIONNEL :</w:t>
      </w:r>
    </w:p>
    <w:p w14:paraId="15170CFA" w14:textId="6E47056E" w:rsidR="00CF471A" w:rsidRDefault="00727E0A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9B2E14">
        <w:rPr>
          <w:rFonts w:ascii="Bookman Old Style" w:eastAsia="Calibri" w:hAnsi="Bookman Old Style"/>
          <w:bCs/>
          <w:sz w:val="22"/>
          <w:szCs w:val="22"/>
          <w:lang w:eastAsia="en-US"/>
        </w:rPr>
        <w:t>L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>es dossiers de candidatures de</w:t>
      </w:r>
      <w:r w:rsidR="00407555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vront être transmis à l’ARS le </w:t>
      </w:r>
      <w:r w:rsidR="00470000">
        <w:rPr>
          <w:rFonts w:ascii="Bookman Old Style" w:eastAsia="Calibri" w:hAnsi="Bookman Old Style"/>
          <w:bCs/>
          <w:sz w:val="22"/>
          <w:szCs w:val="22"/>
          <w:lang w:eastAsia="en-US"/>
        </w:rPr>
        <w:t>3</w:t>
      </w:r>
      <w:r w:rsidR="003E74A3">
        <w:rPr>
          <w:rFonts w:ascii="Bookman Old Style" w:eastAsia="Calibri" w:hAnsi="Bookman Old Style"/>
          <w:bCs/>
          <w:sz w:val="22"/>
          <w:szCs w:val="22"/>
          <w:lang w:eastAsia="en-US"/>
        </w:rPr>
        <w:t>0 mai</w:t>
      </w:r>
      <w:r w:rsidR="00E909C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>202</w:t>
      </w:r>
      <w:r w:rsidR="003E74A3">
        <w:rPr>
          <w:rFonts w:ascii="Bookman Old Style" w:eastAsia="Calibri" w:hAnsi="Bookman Old Style"/>
          <w:bCs/>
          <w:sz w:val="22"/>
          <w:szCs w:val="22"/>
          <w:lang w:eastAsia="en-US"/>
        </w:rPr>
        <w:t>5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9111C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 plus tard </w:t>
      </w:r>
      <w:r w:rsidR="00CF471A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à </w:t>
      </w:r>
      <w:hyperlink r:id="rId10" w:history="1">
        <w:r w:rsidR="00CF471A" w:rsidRPr="00FB562C">
          <w:rPr>
            <w:rStyle w:val="Lienhypertexte"/>
            <w:rFonts w:ascii="Bookman Old Style" w:eastAsia="Calibri" w:hAnsi="Bookman Old Style"/>
            <w:bCs/>
            <w:sz w:val="22"/>
            <w:szCs w:val="22"/>
            <w:lang w:eastAsia="en-US"/>
          </w:rPr>
          <w:t>ars-paca-dprs-astp@ars.sante.fr</w:t>
        </w:r>
      </w:hyperlink>
    </w:p>
    <w:p w14:paraId="1B6362D8" w14:textId="535991ED" w:rsidR="00636C02" w:rsidRPr="003676B7" w:rsidRDefault="00101CE4" w:rsidP="003676B7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Les universités répondent à l’appel à candidature</w:t>
      </w:r>
      <w:r w:rsidR="00434CA6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s</w:t>
      </w: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en renseignant </w:t>
      </w:r>
      <w:r w:rsidR="00C32D8F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>le</w:t>
      </w:r>
      <w:r w:rsidR="00BF4E89"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dossier de candidature </w:t>
      </w:r>
    </w:p>
    <w:p w14:paraId="6153ACBF" w14:textId="424585B0" w:rsidR="00101CE4" w:rsidRPr="003676B7" w:rsidRDefault="008633C2" w:rsidP="001D0EDD">
      <w:pPr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3676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14:paraId="6216FFCA" w14:textId="77777777" w:rsidR="001D0EDD" w:rsidRPr="00C32D8F" w:rsidRDefault="00636C02" w:rsidP="00F70003">
      <w:pPr>
        <w:tabs>
          <w:tab w:val="left" w:pos="164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275FD182" w14:textId="6CA6B4F0" w:rsidR="00101CE4" w:rsidRPr="00C32D8F" w:rsidRDefault="008633C2" w:rsidP="001D0ED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Les candidats et/ou le responsable de projet </w:t>
      </w:r>
      <w:r>
        <w:rPr>
          <w:rFonts w:ascii="Bookman Old Style" w:hAnsi="Bookman Old Style"/>
          <w:sz w:val="22"/>
          <w:szCs w:val="22"/>
        </w:rPr>
        <w:tab/>
        <w:t xml:space="preserve">au sein de l’université </w:t>
      </w:r>
      <w:r w:rsidR="003676B7">
        <w:rPr>
          <w:rFonts w:ascii="Bookman Old Style" w:hAnsi="Bookman Old Style"/>
          <w:sz w:val="22"/>
          <w:szCs w:val="22"/>
        </w:rPr>
        <w:t>peut</w:t>
      </w:r>
      <w:r>
        <w:rPr>
          <w:rFonts w:ascii="Bookman Old Style" w:hAnsi="Bookman Old Style"/>
          <w:sz w:val="22"/>
          <w:szCs w:val="22"/>
        </w:rPr>
        <w:t xml:space="preserve"> être auditionnés</w:t>
      </w:r>
      <w:r w:rsidR="009111C4">
        <w:rPr>
          <w:rFonts w:ascii="Bookman Old Style" w:hAnsi="Bookman Old Style"/>
          <w:sz w:val="22"/>
          <w:szCs w:val="22"/>
        </w:rPr>
        <w:t xml:space="preserve"> par l’ARS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21F53C00" w14:textId="77777777" w:rsidR="00500067" w:rsidRDefault="00500067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580B8252" w14:textId="77777777" w:rsidR="001D0EDD" w:rsidRPr="00C32D8F" w:rsidRDefault="00101CE4" w:rsidP="001E06A5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La sélection/</w:t>
      </w:r>
      <w:r w:rsidR="00C32D8F"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priorisation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</w:t>
      </w:r>
      <w:r w:rsidR="008633C2">
        <w:rPr>
          <w:rFonts w:ascii="Bookman Old Style" w:eastAsia="Calibri" w:hAnsi="Bookman Old Style"/>
          <w:bCs/>
          <w:sz w:val="22"/>
          <w:szCs w:val="22"/>
          <w:lang w:eastAsia="en-US"/>
        </w:rPr>
        <w:t>ura</w:t>
      </w: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lieu sur la base :</w:t>
      </w:r>
    </w:p>
    <w:p w14:paraId="4C937814" w14:textId="199A3249" w:rsidR="00101CE4" w:rsidRPr="00C32D8F" w:rsidRDefault="00101CE4" w:rsidP="00101CE4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Du profil du candidat</w:t>
      </w:r>
      <w:r w:rsidR="003676B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(son projet professionnel après l’assistanat)</w:t>
      </w:r>
    </w:p>
    <w:p w14:paraId="50726D82" w14:textId="77777777" w:rsidR="00101CE4" w:rsidRPr="00C32D8F" w:rsidRDefault="00101CE4" w:rsidP="00101CE4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Du projet universitaire</w:t>
      </w:r>
    </w:p>
    <w:p w14:paraId="50DFF0B0" w14:textId="77777777" w:rsidR="004424EE" w:rsidRPr="00E940A7" w:rsidRDefault="00101CE4" w:rsidP="00E940A7">
      <w:pPr>
        <w:pStyle w:val="Paragraphedeliste"/>
        <w:numPr>
          <w:ilvl w:val="0"/>
          <w:numId w:val="32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C32D8F">
        <w:rPr>
          <w:rFonts w:ascii="Bookman Old Style" w:eastAsia="Calibri" w:hAnsi="Bookman Old Style"/>
          <w:bCs/>
          <w:sz w:val="22"/>
          <w:szCs w:val="22"/>
          <w:lang w:eastAsia="en-US"/>
        </w:rPr>
        <w:t>Du projet avec la structure de soins</w:t>
      </w:r>
    </w:p>
    <w:p w14:paraId="3A216F52" w14:textId="77777777" w:rsidR="004424EE" w:rsidRPr="00F7346A" w:rsidRDefault="004424EE" w:rsidP="00F7346A">
      <w:pPr>
        <w:pStyle w:val="Paragraphedeliste"/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2FB87F65" w14:textId="77777777" w:rsidR="006A508C" w:rsidRPr="00124613" w:rsidRDefault="00727E0A" w:rsidP="00C0465D">
      <w:pPr>
        <w:pStyle w:val="Paragraphedeliste"/>
        <w:numPr>
          <w:ilvl w:val="0"/>
          <w:numId w:val="13"/>
        </w:numPr>
        <w:spacing w:after="200" w:line="276" w:lineRule="auto"/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</w:pPr>
      <w:r w:rsidRPr="002F2855">
        <w:rPr>
          <w:rFonts w:ascii="Bookman Old Style" w:eastAsia="Calibri" w:hAnsi="Bookman Old Style"/>
          <w:b/>
          <w:bCs/>
          <w:color w:val="17365D" w:themeColor="text2" w:themeShade="BF"/>
          <w:sz w:val="22"/>
          <w:szCs w:val="22"/>
          <w:lang w:eastAsia="en-US"/>
        </w:rPr>
        <w:t>Le SUIVI/EVALUATION</w:t>
      </w:r>
    </w:p>
    <w:p w14:paraId="53FC2107" w14:textId="77777777" w:rsidR="006A508C" w:rsidRDefault="0012461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Un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suivi annuel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sera réalisé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afin d’évaluer les activités exercées, la satisfaction </w:t>
      </w:r>
      <w:r w:rsidR="009111C4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des acteurs concernés vis-à-vis 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>du dispositif, les difficultés rencontrées, le projet professionnel et le cas échéant ses évolutions, et les propositions d’amélioration du dispositif.</w:t>
      </w:r>
    </w:p>
    <w:p w14:paraId="0A8BF37F" w14:textId="77777777" w:rsidR="002E317D" w:rsidRDefault="009111C4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Une e</w:t>
      </w:r>
      <w:r w:rsidR="002E317D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nquête annuelle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sera diligentée par l’ARS </w:t>
      </w:r>
      <w:r w:rsidR="002E317D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auprès des </w:t>
      </w:r>
      <w:r w:rsidR="00E53CD3">
        <w:rPr>
          <w:rFonts w:ascii="Bookman Old Style" w:eastAsia="Calibri" w:hAnsi="Bookman Old Style"/>
          <w:bCs/>
          <w:sz w:val="22"/>
          <w:szCs w:val="22"/>
          <w:lang w:eastAsia="en-US"/>
        </w:rPr>
        <w:t>structures d’accueil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2E317D">
        <w:rPr>
          <w:rFonts w:ascii="Bookman Old Style" w:eastAsia="Calibri" w:hAnsi="Bookman Old Style"/>
          <w:bCs/>
          <w:sz w:val="22"/>
          <w:szCs w:val="22"/>
          <w:lang w:eastAsia="en-US"/>
        </w:rPr>
        <w:t>pour connaitre :</w:t>
      </w:r>
    </w:p>
    <w:p w14:paraId="3608FC78" w14:textId="77777777" w:rsidR="00D25F79" w:rsidRDefault="002E317D" w:rsidP="00572A2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* </w:t>
      </w:r>
      <w:r w:rsidR="00D25F7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le cas échéant, </w:t>
      </w:r>
      <w:r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les suites données aux contr</w:t>
      </w:r>
      <w:r w:rsidR="001E06A5"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ats des A</w:t>
      </w:r>
      <w:r w:rsidR="001D0EDD"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UMG</w:t>
      </w:r>
      <w:r w:rsidR="00F53C73" w:rsidRPr="00981644">
        <w:rPr>
          <w:rFonts w:ascii="Bookman Old Style" w:eastAsia="Calibri" w:hAnsi="Bookman Old Style"/>
          <w:bCs/>
          <w:sz w:val="22"/>
          <w:szCs w:val="22"/>
          <w:lang w:eastAsia="en-US"/>
        </w:rPr>
        <w:t> </w:t>
      </w:r>
    </w:p>
    <w:p w14:paraId="11CA5D51" w14:textId="77777777" w:rsidR="002E317D" w:rsidRDefault="002E317D" w:rsidP="002951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* l’adéquation entre les besoins post internat et l’offre.</w:t>
      </w:r>
    </w:p>
    <w:p w14:paraId="1B6A981D" w14:textId="77777777" w:rsidR="00FF350F" w:rsidRDefault="00FF350F" w:rsidP="0029514A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* l’articulation entre </w:t>
      </w:r>
      <w:r w:rsidR="009B5137">
        <w:rPr>
          <w:rFonts w:ascii="Bookman Old Style" w:eastAsia="Calibri" w:hAnsi="Bookman Old Style"/>
          <w:bCs/>
          <w:sz w:val="22"/>
          <w:szCs w:val="22"/>
          <w:lang w:eastAsia="en-US"/>
        </w:rPr>
        <w:t>l’université et la structure de soins</w:t>
      </w:r>
    </w:p>
    <w:p w14:paraId="18579F9E" w14:textId="77777777" w:rsidR="0029514A" w:rsidRDefault="0029514A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74933E05" w14:textId="77777777" w:rsidR="009B2E14" w:rsidRPr="00C0465D" w:rsidRDefault="009B2E14" w:rsidP="00656363">
      <w:pPr>
        <w:spacing w:after="200" w:line="276" w:lineRule="auto"/>
        <w:jc w:val="both"/>
        <w:rPr>
          <w:rFonts w:ascii="Bookman Old Style" w:eastAsia="Calibri" w:hAnsi="Bookman Old Style"/>
          <w:b/>
          <w:bCs/>
          <w:color w:val="FF0000"/>
          <w:sz w:val="22"/>
          <w:szCs w:val="22"/>
          <w:highlight w:val="yellow"/>
          <w:lang w:eastAsia="en-US"/>
        </w:rPr>
      </w:pPr>
      <w:r w:rsidRPr="00C0465D">
        <w:rPr>
          <w:rFonts w:ascii="Bookman Old Style" w:eastAsia="Calibri" w:hAnsi="Bookman Old Style"/>
          <w:b/>
          <w:bCs/>
          <w:color w:val="FF0000"/>
          <w:sz w:val="22"/>
          <w:szCs w:val="22"/>
          <w:highlight w:val="yellow"/>
          <w:lang w:eastAsia="en-US"/>
        </w:rPr>
        <w:t>Attention :</w:t>
      </w:r>
    </w:p>
    <w:p w14:paraId="4FBF4CE9" w14:textId="77777777" w:rsidR="00656363" w:rsidRPr="00B143D1" w:rsidRDefault="0065636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  <w:t xml:space="preserve">Remplacement d’un candidat suite à un désistement </w:t>
      </w:r>
    </w:p>
    <w:p w14:paraId="78F673A9" w14:textId="0C17C898" w:rsidR="009B2E14" w:rsidRPr="00B143D1" w:rsidRDefault="009B2E14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Si un candidat se désiste avant le </w:t>
      </w:r>
      <w:r w:rsidR="00B143D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01/10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/202</w:t>
      </w:r>
      <w:r w:rsidR="00DB6DCE">
        <w:rPr>
          <w:rFonts w:ascii="Bookman Old Style" w:eastAsia="Calibri" w:hAnsi="Bookman Old Style"/>
          <w:bCs/>
          <w:sz w:val="22"/>
          <w:szCs w:val="22"/>
          <w:lang w:eastAsia="en-US"/>
        </w:rPr>
        <w:t>5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, l’université doit :</w:t>
      </w:r>
    </w:p>
    <w:p w14:paraId="21C0259D" w14:textId="77777777" w:rsidR="009B2E14" w:rsidRPr="00B143D1" w:rsidRDefault="009B2E14" w:rsidP="00656363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En informer immédiatement l’ARS</w:t>
      </w:r>
      <w:r w:rsidR="00E2600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, à défaut le financement sera refusé</w:t>
      </w:r>
    </w:p>
    <w:p w14:paraId="636FBE64" w14:textId="77777777" w:rsidR="00E26001" w:rsidRPr="00B143D1" w:rsidRDefault="00E26001" w:rsidP="00656363">
      <w:pPr>
        <w:pStyle w:val="Paragraphedeliste"/>
        <w:numPr>
          <w:ilvl w:val="0"/>
          <w:numId w:val="36"/>
        </w:num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Proposer un nouveau candidat </w:t>
      </w:r>
      <w:r w:rsidR="00D25F79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avec le même projet 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dans les meilleurs délais </w:t>
      </w:r>
      <w:r w:rsidR="00AD40C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et avant le 1</w:t>
      </w:r>
      <w:r w:rsidR="00AD40C1" w:rsidRPr="00B143D1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="00AD40C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en envoyant son CV et la lettre de motivation</w:t>
      </w:r>
      <w:r w:rsidR="00AD40C1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.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  <w:r w:rsidR="00D25F79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</w:t>
      </w:r>
    </w:p>
    <w:p w14:paraId="50E7F1AC" w14:textId="02AE3EFE" w:rsidR="00D25F79" w:rsidRPr="00B143D1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Le candidat doit être impérativement inscrit à l’ordre avant le 1</w:t>
      </w:r>
      <w:r w:rsidRPr="00B143D1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202</w:t>
      </w:r>
      <w:r w:rsidR="00DB6DCE">
        <w:rPr>
          <w:rFonts w:ascii="Bookman Old Style" w:eastAsia="Calibri" w:hAnsi="Bookman Old Style"/>
          <w:bCs/>
          <w:sz w:val="22"/>
          <w:szCs w:val="22"/>
          <w:lang w:eastAsia="en-US"/>
        </w:rPr>
        <w:t>5</w:t>
      </w: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. </w:t>
      </w:r>
    </w:p>
    <w:p w14:paraId="6D2F2A2D" w14:textId="77777777" w:rsidR="00E26001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L’ARS </w:t>
      </w:r>
      <w:r w:rsidR="00D25F79" w:rsidRPr="00B143D1">
        <w:rPr>
          <w:rFonts w:ascii="Bookman Old Style" w:eastAsia="Calibri" w:hAnsi="Bookman Old Style"/>
          <w:bCs/>
          <w:sz w:val="22"/>
          <w:szCs w:val="22"/>
          <w:lang w:eastAsia="en-US"/>
        </w:rPr>
        <w:t>étudie cette nouvelle demande, et fait part de sa décision à l’Université</w:t>
      </w:r>
      <w:r w:rsidR="00D25F79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 </w:t>
      </w:r>
    </w:p>
    <w:p w14:paraId="4571E042" w14:textId="77777777" w:rsidR="00D25F79" w:rsidRDefault="00D25F79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</w:pPr>
    </w:p>
    <w:p w14:paraId="3CB50AA2" w14:textId="77777777" w:rsidR="00E26001" w:rsidRPr="00656363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</w:pPr>
      <w:r w:rsidRPr="00656363">
        <w:rPr>
          <w:rFonts w:ascii="Bookman Old Style" w:eastAsia="Calibri" w:hAnsi="Bookman Old Style"/>
          <w:bCs/>
          <w:sz w:val="22"/>
          <w:szCs w:val="22"/>
          <w:u w:val="single"/>
          <w:lang w:eastAsia="en-US"/>
        </w:rPr>
        <w:t>Report de prise de fonction</w:t>
      </w:r>
    </w:p>
    <w:p w14:paraId="0865CDB5" w14:textId="77777777" w:rsidR="00656363" w:rsidRDefault="0065636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Informer l’Ars dans les meilleurs délais, à défaut le financement </w:t>
      </w:r>
      <w:r w:rsidR="008633C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ne 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sera </w:t>
      </w:r>
      <w:r w:rsidR="008633C2"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pas octroyé. </w:t>
      </w:r>
    </w:p>
    <w:p w14:paraId="44915EF6" w14:textId="05BF60D3" w:rsidR="00E26001" w:rsidRPr="00E26001" w:rsidRDefault="00656363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>
        <w:rPr>
          <w:rFonts w:ascii="Bookman Old Style" w:eastAsia="Calibri" w:hAnsi="Bookman Old Style"/>
          <w:bCs/>
          <w:sz w:val="22"/>
          <w:szCs w:val="22"/>
          <w:lang w:eastAsia="en-US"/>
        </w:rPr>
        <w:t>La prise de fonction des AUMG doit se faire au 1</w:t>
      </w:r>
      <w:r w:rsidRPr="00656363">
        <w:rPr>
          <w:rFonts w:ascii="Bookman Old Style" w:eastAsia="Calibri" w:hAnsi="Bookman Old Style"/>
          <w:bCs/>
          <w:sz w:val="22"/>
          <w:szCs w:val="22"/>
          <w:vertAlign w:val="superscript"/>
          <w:lang w:eastAsia="en-US"/>
        </w:rPr>
        <w:t>er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novembre 202</w:t>
      </w:r>
      <w:r w:rsidR="00DB6DCE">
        <w:rPr>
          <w:rFonts w:ascii="Bookman Old Style" w:eastAsia="Calibri" w:hAnsi="Bookman Old Style"/>
          <w:bCs/>
          <w:sz w:val="22"/>
          <w:szCs w:val="22"/>
          <w:lang w:eastAsia="en-US"/>
        </w:rPr>
        <w:t>5</w:t>
      </w:r>
      <w:r>
        <w:rPr>
          <w:rFonts w:ascii="Bookman Old Style" w:eastAsia="Calibri" w:hAnsi="Bookman Old Style"/>
          <w:bCs/>
          <w:sz w:val="22"/>
          <w:szCs w:val="22"/>
          <w:lang w:eastAsia="en-US"/>
        </w:rPr>
        <w:t xml:space="preserve"> et exceptionnellement courant novembre. </w:t>
      </w:r>
    </w:p>
    <w:p w14:paraId="17F4E4C7" w14:textId="77777777" w:rsidR="00E26001" w:rsidRDefault="00E26001" w:rsidP="00656363">
      <w:pPr>
        <w:spacing w:after="200" w:line="276" w:lineRule="auto"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p w14:paraId="28F95EDE" w14:textId="77777777" w:rsidR="001E06A5" w:rsidRPr="002F2855" w:rsidRDefault="001E06A5" w:rsidP="002E317D">
      <w:pPr>
        <w:spacing w:after="200" w:line="276" w:lineRule="auto"/>
        <w:ind w:firstLine="360"/>
        <w:rPr>
          <w:rFonts w:ascii="Bookman Old Style" w:eastAsia="Calibri" w:hAnsi="Bookman Old Style"/>
          <w:bCs/>
          <w:sz w:val="22"/>
          <w:szCs w:val="22"/>
          <w:lang w:eastAsia="en-US"/>
        </w:rPr>
      </w:pPr>
    </w:p>
    <w:sectPr w:rsidR="001E06A5" w:rsidRPr="002F2855" w:rsidSect="008772F0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C1DB" w14:textId="77777777" w:rsidR="001E7840" w:rsidRDefault="001E7840">
      <w:r>
        <w:separator/>
      </w:r>
    </w:p>
  </w:endnote>
  <w:endnote w:type="continuationSeparator" w:id="0">
    <w:p w14:paraId="7EA2EF36" w14:textId="77777777" w:rsidR="001E7840" w:rsidRDefault="001E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0FEB" w14:textId="77777777" w:rsidR="002F1651" w:rsidRDefault="002F1651" w:rsidP="009E2730">
    <w:pPr>
      <w:pStyle w:val="Pieddepage"/>
      <w:rPr>
        <w:rFonts w:ascii="Arial" w:hAnsi="Arial" w:cs="Arial"/>
        <w:snapToGrid w:val="0"/>
        <w:sz w:val="20"/>
        <w:szCs w:val="20"/>
      </w:rPr>
    </w:pPr>
  </w:p>
  <w:p w14:paraId="60516CE8" w14:textId="77777777" w:rsidR="002F1651" w:rsidRDefault="002F1651" w:rsidP="009E2730">
    <w:pPr>
      <w:pStyle w:val="Pieddepage"/>
      <w:rPr>
        <w:rStyle w:val="Numrodepage"/>
        <w:rFonts w:ascii="Arial" w:hAnsi="Arial" w:cs="Arial"/>
        <w:sz w:val="20"/>
        <w:szCs w:val="20"/>
      </w:rPr>
    </w:pP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Fonts w:ascii="Arial" w:hAnsi="Arial" w:cs="Arial"/>
        <w:snapToGrid w:val="0"/>
        <w:sz w:val="20"/>
        <w:szCs w:val="20"/>
      </w:rPr>
      <w:tab/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470000">
      <w:rPr>
        <w:rStyle w:val="Numrodepage"/>
        <w:rFonts w:ascii="Arial" w:hAnsi="Arial" w:cs="Arial"/>
        <w:noProof/>
        <w:sz w:val="20"/>
        <w:szCs w:val="20"/>
      </w:rPr>
      <w:t>5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  <w:r w:rsidRPr="00C64F00">
      <w:rPr>
        <w:rStyle w:val="Numrodepage"/>
        <w:rFonts w:ascii="Arial" w:hAnsi="Arial" w:cs="Arial"/>
        <w:sz w:val="20"/>
        <w:szCs w:val="20"/>
      </w:rPr>
      <w:t>/</w:t>
    </w:r>
    <w:r w:rsidRPr="00C64F00">
      <w:rPr>
        <w:rStyle w:val="Numrodepage"/>
        <w:rFonts w:ascii="Arial" w:hAnsi="Arial" w:cs="Arial"/>
        <w:sz w:val="20"/>
        <w:szCs w:val="20"/>
      </w:rPr>
      <w:fldChar w:fldCharType="begin"/>
    </w:r>
    <w:r w:rsidRPr="00C64F00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C64F00">
      <w:rPr>
        <w:rStyle w:val="Numrodepage"/>
        <w:rFonts w:ascii="Arial" w:hAnsi="Arial" w:cs="Arial"/>
        <w:sz w:val="20"/>
        <w:szCs w:val="20"/>
      </w:rPr>
      <w:fldChar w:fldCharType="separate"/>
    </w:r>
    <w:r w:rsidR="00470000">
      <w:rPr>
        <w:rStyle w:val="Numrodepage"/>
        <w:rFonts w:ascii="Arial" w:hAnsi="Arial" w:cs="Arial"/>
        <w:noProof/>
        <w:sz w:val="20"/>
        <w:szCs w:val="20"/>
      </w:rPr>
      <w:t>5</w:t>
    </w:r>
    <w:r w:rsidRPr="00C64F00">
      <w:rPr>
        <w:rStyle w:val="Numrodepage"/>
        <w:rFonts w:ascii="Arial" w:hAnsi="Arial" w:cs="Arial"/>
        <w:sz w:val="20"/>
        <w:szCs w:val="20"/>
      </w:rPr>
      <w:fldChar w:fldCharType="end"/>
    </w:r>
  </w:p>
  <w:p w14:paraId="2ECBE583" w14:textId="77777777" w:rsidR="002F1651" w:rsidRPr="00C64F00" w:rsidRDefault="002F1651" w:rsidP="009E2730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27A0" w14:textId="77777777" w:rsidR="001E7840" w:rsidRDefault="001E7840">
      <w:r>
        <w:separator/>
      </w:r>
    </w:p>
  </w:footnote>
  <w:footnote w:type="continuationSeparator" w:id="0">
    <w:p w14:paraId="5469E36B" w14:textId="77777777" w:rsidR="001E7840" w:rsidRDefault="001E7840">
      <w:r>
        <w:continuationSeparator/>
      </w:r>
    </w:p>
  </w:footnote>
  <w:footnote w:id="1">
    <w:p w14:paraId="336D5507" w14:textId="77777777" w:rsidR="00900CC5" w:rsidRDefault="001D0EDD" w:rsidP="001D0E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465D">
        <w:rPr>
          <w:highlight w:val="yellow"/>
        </w:rPr>
        <w:t xml:space="preserve">Cf. </w:t>
      </w:r>
      <w:r w:rsidR="00B143D1">
        <w:rPr>
          <w:highlight w:val="yellow"/>
        </w:rPr>
        <w:t>l’arrêté du 22 mars 2023</w:t>
      </w:r>
      <w:r w:rsidR="00900CC5" w:rsidRPr="00C0465D">
        <w:rPr>
          <w:highlight w:val="yellow"/>
        </w:rPr>
        <w:t xml:space="preserve"> modifiant 21 octobre 2010 relatif à la rémunération des chefs de clinique des universités de médecine générale</w:t>
      </w:r>
      <w:r w:rsidR="00900CC5" w:rsidRPr="00CB329B">
        <w:rPr>
          <w:rFonts w:ascii="Arial" w:hAnsi="Arial" w:cs="Arial"/>
        </w:rPr>
        <w:t> </w:t>
      </w:r>
    </w:p>
    <w:p w14:paraId="0463BB19" w14:textId="77777777" w:rsidR="001D0EDD" w:rsidRDefault="001D0EDD" w:rsidP="001D0ED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884"/>
    <w:multiLevelType w:val="hybridMultilevel"/>
    <w:tmpl w:val="FFE21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2612"/>
    <w:multiLevelType w:val="hybridMultilevel"/>
    <w:tmpl w:val="E55E0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9D5"/>
    <w:multiLevelType w:val="hybridMultilevel"/>
    <w:tmpl w:val="CE4014A2"/>
    <w:lvl w:ilvl="0" w:tplc="3E56EF9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7574"/>
    <w:multiLevelType w:val="hybridMultilevel"/>
    <w:tmpl w:val="9B8E1164"/>
    <w:lvl w:ilvl="0" w:tplc="1A9C2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3790"/>
    <w:multiLevelType w:val="hybridMultilevel"/>
    <w:tmpl w:val="C610F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1D8"/>
    <w:multiLevelType w:val="hybridMultilevel"/>
    <w:tmpl w:val="DEFE49BC"/>
    <w:lvl w:ilvl="0" w:tplc="3D0C3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629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EA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8E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42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E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22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F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64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23532"/>
    <w:multiLevelType w:val="hybridMultilevel"/>
    <w:tmpl w:val="E9F4E7F0"/>
    <w:lvl w:ilvl="0" w:tplc="E2FEEBA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96E4F"/>
    <w:multiLevelType w:val="hybridMultilevel"/>
    <w:tmpl w:val="2CE019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259B7"/>
    <w:multiLevelType w:val="hybridMultilevel"/>
    <w:tmpl w:val="282A4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12692"/>
    <w:multiLevelType w:val="hybridMultilevel"/>
    <w:tmpl w:val="B9F0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25CAD"/>
    <w:multiLevelType w:val="hybridMultilevel"/>
    <w:tmpl w:val="C13A4ED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E30CE"/>
    <w:multiLevelType w:val="hybridMultilevel"/>
    <w:tmpl w:val="E5D81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7B5E"/>
    <w:multiLevelType w:val="multilevel"/>
    <w:tmpl w:val="77BCC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 w15:restartNumberingAfterBreak="0">
    <w:nsid w:val="1D1F735C"/>
    <w:multiLevelType w:val="hybridMultilevel"/>
    <w:tmpl w:val="BE0C6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F39A0"/>
    <w:multiLevelType w:val="hybridMultilevel"/>
    <w:tmpl w:val="01683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263C"/>
    <w:multiLevelType w:val="multilevel"/>
    <w:tmpl w:val="F2182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C8F010D"/>
    <w:multiLevelType w:val="multilevel"/>
    <w:tmpl w:val="1134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31838DA"/>
    <w:multiLevelType w:val="hybridMultilevel"/>
    <w:tmpl w:val="975AFE5E"/>
    <w:lvl w:ilvl="0" w:tplc="ABC093E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4911"/>
    <w:multiLevelType w:val="hybridMultilevel"/>
    <w:tmpl w:val="049C5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F341C"/>
    <w:multiLevelType w:val="hybridMultilevel"/>
    <w:tmpl w:val="9AF09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069BE"/>
    <w:multiLevelType w:val="hybridMultilevel"/>
    <w:tmpl w:val="35CC2400"/>
    <w:lvl w:ilvl="0" w:tplc="40CC6312">
      <w:start w:val="20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9CA"/>
    <w:multiLevelType w:val="hybridMultilevel"/>
    <w:tmpl w:val="11789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13D87"/>
    <w:multiLevelType w:val="hybridMultilevel"/>
    <w:tmpl w:val="CE86685C"/>
    <w:lvl w:ilvl="0" w:tplc="5876FC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D6885"/>
    <w:multiLevelType w:val="hybridMultilevel"/>
    <w:tmpl w:val="06089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808C1"/>
    <w:multiLevelType w:val="hybridMultilevel"/>
    <w:tmpl w:val="F2A0A7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608F3"/>
    <w:multiLevelType w:val="hybridMultilevel"/>
    <w:tmpl w:val="E19A8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2CFE"/>
    <w:multiLevelType w:val="hybridMultilevel"/>
    <w:tmpl w:val="F7A29CF2"/>
    <w:lvl w:ilvl="0" w:tplc="7F20790A">
      <w:start w:val="202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93259"/>
    <w:multiLevelType w:val="hybridMultilevel"/>
    <w:tmpl w:val="2C424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779F5"/>
    <w:multiLevelType w:val="hybridMultilevel"/>
    <w:tmpl w:val="1EB0B610"/>
    <w:lvl w:ilvl="0" w:tplc="CF8A92EE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421CE"/>
    <w:multiLevelType w:val="hybridMultilevel"/>
    <w:tmpl w:val="90B2A494"/>
    <w:lvl w:ilvl="0" w:tplc="376A5E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B60C5"/>
    <w:multiLevelType w:val="multilevel"/>
    <w:tmpl w:val="5AB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17513C"/>
    <w:multiLevelType w:val="hybridMultilevel"/>
    <w:tmpl w:val="19089842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401DA"/>
    <w:multiLevelType w:val="hybridMultilevel"/>
    <w:tmpl w:val="DD2ED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5597B"/>
    <w:multiLevelType w:val="hybridMultilevel"/>
    <w:tmpl w:val="2806F2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5B5E"/>
    <w:multiLevelType w:val="hybridMultilevel"/>
    <w:tmpl w:val="82D6C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BF9"/>
    <w:multiLevelType w:val="hybridMultilevel"/>
    <w:tmpl w:val="E82A46AE"/>
    <w:lvl w:ilvl="0" w:tplc="A4E200B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4BEA"/>
    <w:multiLevelType w:val="hybridMultilevel"/>
    <w:tmpl w:val="D8BAD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719053">
    <w:abstractNumId w:val="5"/>
  </w:num>
  <w:num w:numId="2" w16cid:durableId="1362246947">
    <w:abstractNumId w:val="17"/>
  </w:num>
  <w:num w:numId="3" w16cid:durableId="1937325236">
    <w:abstractNumId w:val="2"/>
  </w:num>
  <w:num w:numId="4" w16cid:durableId="1403990606">
    <w:abstractNumId w:val="12"/>
  </w:num>
  <w:num w:numId="5" w16cid:durableId="1188565204">
    <w:abstractNumId w:val="13"/>
  </w:num>
  <w:num w:numId="6" w16cid:durableId="43526583">
    <w:abstractNumId w:val="34"/>
  </w:num>
  <w:num w:numId="7" w16cid:durableId="1387073204">
    <w:abstractNumId w:val="22"/>
  </w:num>
  <w:num w:numId="8" w16cid:durableId="1135491303">
    <w:abstractNumId w:val="29"/>
  </w:num>
  <w:num w:numId="9" w16cid:durableId="1216314871">
    <w:abstractNumId w:val="24"/>
  </w:num>
  <w:num w:numId="10" w16cid:durableId="1008992817">
    <w:abstractNumId w:val="33"/>
  </w:num>
  <w:num w:numId="11" w16cid:durableId="817840397">
    <w:abstractNumId w:val="16"/>
  </w:num>
  <w:num w:numId="12" w16cid:durableId="1355423884">
    <w:abstractNumId w:val="15"/>
  </w:num>
  <w:num w:numId="13" w16cid:durableId="1888176682">
    <w:abstractNumId w:val="7"/>
  </w:num>
  <w:num w:numId="14" w16cid:durableId="1591349142">
    <w:abstractNumId w:val="35"/>
  </w:num>
  <w:num w:numId="15" w16cid:durableId="1767073981">
    <w:abstractNumId w:val="6"/>
  </w:num>
  <w:num w:numId="16" w16cid:durableId="779884046">
    <w:abstractNumId w:val="3"/>
  </w:num>
  <w:num w:numId="17" w16cid:durableId="1401321724">
    <w:abstractNumId w:val="28"/>
  </w:num>
  <w:num w:numId="18" w16cid:durableId="1285622935">
    <w:abstractNumId w:val="36"/>
  </w:num>
  <w:num w:numId="19" w16cid:durableId="1572352155">
    <w:abstractNumId w:val="8"/>
  </w:num>
  <w:num w:numId="20" w16cid:durableId="2017607661">
    <w:abstractNumId w:val="0"/>
  </w:num>
  <w:num w:numId="21" w16cid:durableId="769621009">
    <w:abstractNumId w:val="27"/>
  </w:num>
  <w:num w:numId="22" w16cid:durableId="1828979352">
    <w:abstractNumId w:val="23"/>
  </w:num>
  <w:num w:numId="23" w16cid:durableId="1047069734">
    <w:abstractNumId w:val="11"/>
  </w:num>
  <w:num w:numId="24" w16cid:durableId="244807437">
    <w:abstractNumId w:val="18"/>
  </w:num>
  <w:num w:numId="25" w16cid:durableId="519976550">
    <w:abstractNumId w:val="19"/>
  </w:num>
  <w:num w:numId="26" w16cid:durableId="1680235914">
    <w:abstractNumId w:val="4"/>
  </w:num>
  <w:num w:numId="27" w16cid:durableId="247081522">
    <w:abstractNumId w:val="25"/>
  </w:num>
  <w:num w:numId="28" w16cid:durableId="1630210482">
    <w:abstractNumId w:val="32"/>
  </w:num>
  <w:num w:numId="29" w16cid:durableId="2126657867">
    <w:abstractNumId w:val="30"/>
  </w:num>
  <w:num w:numId="30" w16cid:durableId="256134281">
    <w:abstractNumId w:val="10"/>
  </w:num>
  <w:num w:numId="31" w16cid:durableId="1218979815">
    <w:abstractNumId w:val="14"/>
  </w:num>
  <w:num w:numId="32" w16cid:durableId="1810977077">
    <w:abstractNumId w:val="9"/>
  </w:num>
  <w:num w:numId="33" w16cid:durableId="1158035765">
    <w:abstractNumId w:val="21"/>
  </w:num>
  <w:num w:numId="34" w16cid:durableId="1622809249">
    <w:abstractNumId w:val="1"/>
  </w:num>
  <w:num w:numId="35" w16cid:durableId="1670869034">
    <w:abstractNumId w:val="31"/>
  </w:num>
  <w:num w:numId="36" w16cid:durableId="81068961">
    <w:abstractNumId w:val="26"/>
  </w:num>
  <w:num w:numId="37" w16cid:durableId="1291359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D5"/>
    <w:rsid w:val="00012E17"/>
    <w:rsid w:val="000136E0"/>
    <w:rsid w:val="000150C4"/>
    <w:rsid w:val="00015701"/>
    <w:rsid w:val="000221D1"/>
    <w:rsid w:val="000261F5"/>
    <w:rsid w:val="000279C7"/>
    <w:rsid w:val="00040817"/>
    <w:rsid w:val="000444EB"/>
    <w:rsid w:val="00064312"/>
    <w:rsid w:val="00064F9E"/>
    <w:rsid w:val="00067CB1"/>
    <w:rsid w:val="000707F2"/>
    <w:rsid w:val="000945D3"/>
    <w:rsid w:val="000946FE"/>
    <w:rsid w:val="00096596"/>
    <w:rsid w:val="000A3F93"/>
    <w:rsid w:val="000A7D1D"/>
    <w:rsid w:val="000B146E"/>
    <w:rsid w:val="000B4BEB"/>
    <w:rsid w:val="000C3F0A"/>
    <w:rsid w:val="000C673C"/>
    <w:rsid w:val="000C7E58"/>
    <w:rsid w:val="000D0CAE"/>
    <w:rsid w:val="000D1137"/>
    <w:rsid w:val="000D2C4B"/>
    <w:rsid w:val="000D34EF"/>
    <w:rsid w:val="000E42D2"/>
    <w:rsid w:val="000F1850"/>
    <w:rsid w:val="000F20FD"/>
    <w:rsid w:val="000F4452"/>
    <w:rsid w:val="000F6D19"/>
    <w:rsid w:val="001002F2"/>
    <w:rsid w:val="00100E98"/>
    <w:rsid w:val="00101BD4"/>
    <w:rsid w:val="00101CE4"/>
    <w:rsid w:val="00102F49"/>
    <w:rsid w:val="001107B2"/>
    <w:rsid w:val="0011201E"/>
    <w:rsid w:val="0011595B"/>
    <w:rsid w:val="00120B95"/>
    <w:rsid w:val="00124613"/>
    <w:rsid w:val="00125F97"/>
    <w:rsid w:val="001348A5"/>
    <w:rsid w:val="00136320"/>
    <w:rsid w:val="00141922"/>
    <w:rsid w:val="00142AB5"/>
    <w:rsid w:val="0015290D"/>
    <w:rsid w:val="00152F4C"/>
    <w:rsid w:val="00156128"/>
    <w:rsid w:val="00156F7F"/>
    <w:rsid w:val="00160218"/>
    <w:rsid w:val="00161693"/>
    <w:rsid w:val="00164C00"/>
    <w:rsid w:val="00173FBD"/>
    <w:rsid w:val="00180BC2"/>
    <w:rsid w:val="00190A52"/>
    <w:rsid w:val="00193945"/>
    <w:rsid w:val="001B290C"/>
    <w:rsid w:val="001C1AD7"/>
    <w:rsid w:val="001C4DDD"/>
    <w:rsid w:val="001D0EDD"/>
    <w:rsid w:val="001D57E1"/>
    <w:rsid w:val="001E0358"/>
    <w:rsid w:val="001E06A5"/>
    <w:rsid w:val="001E2366"/>
    <w:rsid w:val="001E2FAA"/>
    <w:rsid w:val="001E2FED"/>
    <w:rsid w:val="001E62E1"/>
    <w:rsid w:val="001E7840"/>
    <w:rsid w:val="001F0A35"/>
    <w:rsid w:val="001F1E33"/>
    <w:rsid w:val="001F28FE"/>
    <w:rsid w:val="001F428D"/>
    <w:rsid w:val="001F7F85"/>
    <w:rsid w:val="00203368"/>
    <w:rsid w:val="00204F33"/>
    <w:rsid w:val="00206635"/>
    <w:rsid w:val="00207256"/>
    <w:rsid w:val="00210450"/>
    <w:rsid w:val="002112F2"/>
    <w:rsid w:val="00211C1D"/>
    <w:rsid w:val="00212770"/>
    <w:rsid w:val="002166FF"/>
    <w:rsid w:val="00217BB5"/>
    <w:rsid w:val="00222479"/>
    <w:rsid w:val="00225DB1"/>
    <w:rsid w:val="0022685C"/>
    <w:rsid w:val="00243286"/>
    <w:rsid w:val="00244506"/>
    <w:rsid w:val="00256C20"/>
    <w:rsid w:val="00261014"/>
    <w:rsid w:val="0026524A"/>
    <w:rsid w:val="002670F0"/>
    <w:rsid w:val="00270CBD"/>
    <w:rsid w:val="002748C9"/>
    <w:rsid w:val="002748FD"/>
    <w:rsid w:val="00281844"/>
    <w:rsid w:val="0029514A"/>
    <w:rsid w:val="002A5664"/>
    <w:rsid w:val="002A5913"/>
    <w:rsid w:val="002B1502"/>
    <w:rsid w:val="002B2456"/>
    <w:rsid w:val="002B4BA6"/>
    <w:rsid w:val="002C0975"/>
    <w:rsid w:val="002C387B"/>
    <w:rsid w:val="002C500C"/>
    <w:rsid w:val="002E317D"/>
    <w:rsid w:val="002F0B74"/>
    <w:rsid w:val="002F1651"/>
    <w:rsid w:val="002F2855"/>
    <w:rsid w:val="002F3631"/>
    <w:rsid w:val="002F5D8B"/>
    <w:rsid w:val="002F6AA0"/>
    <w:rsid w:val="00301168"/>
    <w:rsid w:val="00306CD6"/>
    <w:rsid w:val="00310880"/>
    <w:rsid w:val="00311403"/>
    <w:rsid w:val="0031455D"/>
    <w:rsid w:val="00316615"/>
    <w:rsid w:val="00320449"/>
    <w:rsid w:val="00320D96"/>
    <w:rsid w:val="00323FFF"/>
    <w:rsid w:val="00324513"/>
    <w:rsid w:val="00326821"/>
    <w:rsid w:val="00330985"/>
    <w:rsid w:val="00340FD1"/>
    <w:rsid w:val="003416D9"/>
    <w:rsid w:val="00344CF1"/>
    <w:rsid w:val="00346101"/>
    <w:rsid w:val="00350711"/>
    <w:rsid w:val="003577A4"/>
    <w:rsid w:val="00362873"/>
    <w:rsid w:val="003640AC"/>
    <w:rsid w:val="00365226"/>
    <w:rsid w:val="00367531"/>
    <w:rsid w:val="003676B7"/>
    <w:rsid w:val="00372C84"/>
    <w:rsid w:val="003820B2"/>
    <w:rsid w:val="00382A7B"/>
    <w:rsid w:val="00383F1D"/>
    <w:rsid w:val="00385BE9"/>
    <w:rsid w:val="003A2665"/>
    <w:rsid w:val="003C0A68"/>
    <w:rsid w:val="003D2950"/>
    <w:rsid w:val="003D3821"/>
    <w:rsid w:val="003D6267"/>
    <w:rsid w:val="003E2EE0"/>
    <w:rsid w:val="003E65CD"/>
    <w:rsid w:val="003E6F0C"/>
    <w:rsid w:val="003E74A3"/>
    <w:rsid w:val="003E75BE"/>
    <w:rsid w:val="003F6082"/>
    <w:rsid w:val="0040113D"/>
    <w:rsid w:val="00406F3D"/>
    <w:rsid w:val="00407555"/>
    <w:rsid w:val="00410B43"/>
    <w:rsid w:val="00411268"/>
    <w:rsid w:val="00416A00"/>
    <w:rsid w:val="00421FD4"/>
    <w:rsid w:val="00422EC8"/>
    <w:rsid w:val="00425355"/>
    <w:rsid w:val="00433013"/>
    <w:rsid w:val="00434CA6"/>
    <w:rsid w:val="00435C64"/>
    <w:rsid w:val="0043792B"/>
    <w:rsid w:val="004424EE"/>
    <w:rsid w:val="00442792"/>
    <w:rsid w:val="004450B4"/>
    <w:rsid w:val="0044610D"/>
    <w:rsid w:val="00446E09"/>
    <w:rsid w:val="004508CF"/>
    <w:rsid w:val="00453E34"/>
    <w:rsid w:val="0045647C"/>
    <w:rsid w:val="00470000"/>
    <w:rsid w:val="00474297"/>
    <w:rsid w:val="0048176B"/>
    <w:rsid w:val="00482DB4"/>
    <w:rsid w:val="004952CD"/>
    <w:rsid w:val="00495522"/>
    <w:rsid w:val="004A3593"/>
    <w:rsid w:val="004A6911"/>
    <w:rsid w:val="004B3074"/>
    <w:rsid w:val="004B5E34"/>
    <w:rsid w:val="004B7082"/>
    <w:rsid w:val="004C2D92"/>
    <w:rsid w:val="004C3CA2"/>
    <w:rsid w:val="004C5AE5"/>
    <w:rsid w:val="004C6C6B"/>
    <w:rsid w:val="004D2D4A"/>
    <w:rsid w:val="004D500D"/>
    <w:rsid w:val="004D679D"/>
    <w:rsid w:val="004D7E4C"/>
    <w:rsid w:val="004E0ED6"/>
    <w:rsid w:val="004E3B0F"/>
    <w:rsid w:val="004E552B"/>
    <w:rsid w:val="004E583D"/>
    <w:rsid w:val="004F0765"/>
    <w:rsid w:val="004F37B4"/>
    <w:rsid w:val="00500067"/>
    <w:rsid w:val="00500610"/>
    <w:rsid w:val="00503FEE"/>
    <w:rsid w:val="00513DAE"/>
    <w:rsid w:val="005224B6"/>
    <w:rsid w:val="00524686"/>
    <w:rsid w:val="0053164A"/>
    <w:rsid w:val="0053256D"/>
    <w:rsid w:val="00534A30"/>
    <w:rsid w:val="00534F65"/>
    <w:rsid w:val="005366FE"/>
    <w:rsid w:val="00552931"/>
    <w:rsid w:val="005624CC"/>
    <w:rsid w:val="00566485"/>
    <w:rsid w:val="00572A2A"/>
    <w:rsid w:val="00573BF0"/>
    <w:rsid w:val="005745AE"/>
    <w:rsid w:val="005825BF"/>
    <w:rsid w:val="00583A15"/>
    <w:rsid w:val="005866F9"/>
    <w:rsid w:val="00590BDA"/>
    <w:rsid w:val="0059597B"/>
    <w:rsid w:val="00596A51"/>
    <w:rsid w:val="00597212"/>
    <w:rsid w:val="005A530F"/>
    <w:rsid w:val="005A7C01"/>
    <w:rsid w:val="005A7CEB"/>
    <w:rsid w:val="005B3AE3"/>
    <w:rsid w:val="005B5F25"/>
    <w:rsid w:val="005B6B5F"/>
    <w:rsid w:val="005C6C1D"/>
    <w:rsid w:val="005D49BF"/>
    <w:rsid w:val="005F152E"/>
    <w:rsid w:val="005F78FB"/>
    <w:rsid w:val="00612270"/>
    <w:rsid w:val="0061650E"/>
    <w:rsid w:val="00616EC2"/>
    <w:rsid w:val="00617116"/>
    <w:rsid w:val="00630E46"/>
    <w:rsid w:val="006314FA"/>
    <w:rsid w:val="006327BC"/>
    <w:rsid w:val="006345DF"/>
    <w:rsid w:val="00636C02"/>
    <w:rsid w:val="00637988"/>
    <w:rsid w:val="00656363"/>
    <w:rsid w:val="00657886"/>
    <w:rsid w:val="006622DD"/>
    <w:rsid w:val="006651D0"/>
    <w:rsid w:val="00665E2F"/>
    <w:rsid w:val="00667F7F"/>
    <w:rsid w:val="0067494B"/>
    <w:rsid w:val="00676A5A"/>
    <w:rsid w:val="00680476"/>
    <w:rsid w:val="00685F84"/>
    <w:rsid w:val="006915ED"/>
    <w:rsid w:val="00695192"/>
    <w:rsid w:val="00695FD5"/>
    <w:rsid w:val="006A2F83"/>
    <w:rsid w:val="006A508C"/>
    <w:rsid w:val="006A66CB"/>
    <w:rsid w:val="006B3763"/>
    <w:rsid w:val="006B7D4E"/>
    <w:rsid w:val="006C6E55"/>
    <w:rsid w:val="006C6FCC"/>
    <w:rsid w:val="006D5757"/>
    <w:rsid w:val="006D68BC"/>
    <w:rsid w:val="006D7F59"/>
    <w:rsid w:val="006D7FD3"/>
    <w:rsid w:val="006E0082"/>
    <w:rsid w:val="006E12F2"/>
    <w:rsid w:val="006E1435"/>
    <w:rsid w:val="006F0563"/>
    <w:rsid w:val="006F3AF8"/>
    <w:rsid w:val="00700E20"/>
    <w:rsid w:val="007066F5"/>
    <w:rsid w:val="007070C6"/>
    <w:rsid w:val="007077CB"/>
    <w:rsid w:val="00710609"/>
    <w:rsid w:val="007107AA"/>
    <w:rsid w:val="007113B6"/>
    <w:rsid w:val="00715936"/>
    <w:rsid w:val="00723321"/>
    <w:rsid w:val="00727E0A"/>
    <w:rsid w:val="007375BB"/>
    <w:rsid w:val="00753269"/>
    <w:rsid w:val="007642C2"/>
    <w:rsid w:val="007661B4"/>
    <w:rsid w:val="00787C24"/>
    <w:rsid w:val="00796065"/>
    <w:rsid w:val="00796C8D"/>
    <w:rsid w:val="00797591"/>
    <w:rsid w:val="007A1321"/>
    <w:rsid w:val="007A2E23"/>
    <w:rsid w:val="007A44DD"/>
    <w:rsid w:val="007A5997"/>
    <w:rsid w:val="007B04A0"/>
    <w:rsid w:val="007C0D5D"/>
    <w:rsid w:val="007C25F6"/>
    <w:rsid w:val="007C5CBA"/>
    <w:rsid w:val="007D2FFD"/>
    <w:rsid w:val="007D3446"/>
    <w:rsid w:val="007D42A6"/>
    <w:rsid w:val="007E50C4"/>
    <w:rsid w:val="007E6080"/>
    <w:rsid w:val="007E62E7"/>
    <w:rsid w:val="00800D4E"/>
    <w:rsid w:val="008018D9"/>
    <w:rsid w:val="00803C0C"/>
    <w:rsid w:val="0080621B"/>
    <w:rsid w:val="0081462F"/>
    <w:rsid w:val="008164DD"/>
    <w:rsid w:val="008165F1"/>
    <w:rsid w:val="0082211E"/>
    <w:rsid w:val="00831760"/>
    <w:rsid w:val="008343F3"/>
    <w:rsid w:val="00835881"/>
    <w:rsid w:val="0084706E"/>
    <w:rsid w:val="008528BB"/>
    <w:rsid w:val="00854E07"/>
    <w:rsid w:val="00857FE5"/>
    <w:rsid w:val="00860C80"/>
    <w:rsid w:val="008633C2"/>
    <w:rsid w:val="00874726"/>
    <w:rsid w:val="00876C02"/>
    <w:rsid w:val="008772F0"/>
    <w:rsid w:val="0087746C"/>
    <w:rsid w:val="00877CCF"/>
    <w:rsid w:val="00881126"/>
    <w:rsid w:val="00884594"/>
    <w:rsid w:val="00890F9D"/>
    <w:rsid w:val="008928CD"/>
    <w:rsid w:val="00892FAD"/>
    <w:rsid w:val="00894966"/>
    <w:rsid w:val="00895BC5"/>
    <w:rsid w:val="008A1A96"/>
    <w:rsid w:val="008A210D"/>
    <w:rsid w:val="008A69E3"/>
    <w:rsid w:val="008B0A40"/>
    <w:rsid w:val="008B2CAB"/>
    <w:rsid w:val="008C1271"/>
    <w:rsid w:val="008C1D8A"/>
    <w:rsid w:val="008C7FD5"/>
    <w:rsid w:val="008D34BE"/>
    <w:rsid w:val="008E08A5"/>
    <w:rsid w:val="008E7324"/>
    <w:rsid w:val="008E78A6"/>
    <w:rsid w:val="008F0F20"/>
    <w:rsid w:val="008F57B5"/>
    <w:rsid w:val="009004E0"/>
    <w:rsid w:val="00900CC5"/>
    <w:rsid w:val="00901AED"/>
    <w:rsid w:val="00901BB0"/>
    <w:rsid w:val="00910783"/>
    <w:rsid w:val="009111C4"/>
    <w:rsid w:val="009209D9"/>
    <w:rsid w:val="00934261"/>
    <w:rsid w:val="009421F4"/>
    <w:rsid w:val="00945299"/>
    <w:rsid w:val="00950F6A"/>
    <w:rsid w:val="00955D8A"/>
    <w:rsid w:val="009560A3"/>
    <w:rsid w:val="009567E0"/>
    <w:rsid w:val="00957537"/>
    <w:rsid w:val="00960693"/>
    <w:rsid w:val="00962355"/>
    <w:rsid w:val="009651DD"/>
    <w:rsid w:val="009710A1"/>
    <w:rsid w:val="00976634"/>
    <w:rsid w:val="00981644"/>
    <w:rsid w:val="009816C9"/>
    <w:rsid w:val="00983E31"/>
    <w:rsid w:val="009840E9"/>
    <w:rsid w:val="009844AC"/>
    <w:rsid w:val="0098520E"/>
    <w:rsid w:val="00985BB3"/>
    <w:rsid w:val="009934D5"/>
    <w:rsid w:val="0099505B"/>
    <w:rsid w:val="00997DC6"/>
    <w:rsid w:val="009A26F1"/>
    <w:rsid w:val="009A369C"/>
    <w:rsid w:val="009B2545"/>
    <w:rsid w:val="009B2E14"/>
    <w:rsid w:val="009B5137"/>
    <w:rsid w:val="009C3478"/>
    <w:rsid w:val="009C4956"/>
    <w:rsid w:val="009C5169"/>
    <w:rsid w:val="009D1456"/>
    <w:rsid w:val="009D6C03"/>
    <w:rsid w:val="009E2730"/>
    <w:rsid w:val="009F07C4"/>
    <w:rsid w:val="00A0499C"/>
    <w:rsid w:val="00A06EDF"/>
    <w:rsid w:val="00A07F7C"/>
    <w:rsid w:val="00A10F97"/>
    <w:rsid w:val="00A13B4C"/>
    <w:rsid w:val="00A16A5D"/>
    <w:rsid w:val="00A224BA"/>
    <w:rsid w:val="00A245C5"/>
    <w:rsid w:val="00A249A6"/>
    <w:rsid w:val="00A24EB5"/>
    <w:rsid w:val="00A26137"/>
    <w:rsid w:val="00A27CA9"/>
    <w:rsid w:val="00A31DEF"/>
    <w:rsid w:val="00A32400"/>
    <w:rsid w:val="00A44BA8"/>
    <w:rsid w:val="00A44CD7"/>
    <w:rsid w:val="00A47895"/>
    <w:rsid w:val="00A62E89"/>
    <w:rsid w:val="00A648CE"/>
    <w:rsid w:val="00A66452"/>
    <w:rsid w:val="00A66606"/>
    <w:rsid w:val="00A66DD7"/>
    <w:rsid w:val="00A70428"/>
    <w:rsid w:val="00A714AF"/>
    <w:rsid w:val="00A71561"/>
    <w:rsid w:val="00A71C28"/>
    <w:rsid w:val="00A7796A"/>
    <w:rsid w:val="00A83B58"/>
    <w:rsid w:val="00A90EA5"/>
    <w:rsid w:val="00A91CD8"/>
    <w:rsid w:val="00A91F30"/>
    <w:rsid w:val="00A961DD"/>
    <w:rsid w:val="00A97B0B"/>
    <w:rsid w:val="00A97BB9"/>
    <w:rsid w:val="00AA4D3C"/>
    <w:rsid w:val="00AB4015"/>
    <w:rsid w:val="00AB41A9"/>
    <w:rsid w:val="00AB442F"/>
    <w:rsid w:val="00AC27F1"/>
    <w:rsid w:val="00AC6737"/>
    <w:rsid w:val="00AD40C1"/>
    <w:rsid w:val="00AD6070"/>
    <w:rsid w:val="00AE13C9"/>
    <w:rsid w:val="00AE56CB"/>
    <w:rsid w:val="00AE5A20"/>
    <w:rsid w:val="00AF1016"/>
    <w:rsid w:val="00AF36FB"/>
    <w:rsid w:val="00B00BFA"/>
    <w:rsid w:val="00B00E2E"/>
    <w:rsid w:val="00B0149C"/>
    <w:rsid w:val="00B024DE"/>
    <w:rsid w:val="00B0569B"/>
    <w:rsid w:val="00B113BE"/>
    <w:rsid w:val="00B14256"/>
    <w:rsid w:val="00B143D1"/>
    <w:rsid w:val="00B17CBF"/>
    <w:rsid w:val="00B259AF"/>
    <w:rsid w:val="00B30CB8"/>
    <w:rsid w:val="00B318C3"/>
    <w:rsid w:val="00B330AC"/>
    <w:rsid w:val="00B37864"/>
    <w:rsid w:val="00B41179"/>
    <w:rsid w:val="00B4206A"/>
    <w:rsid w:val="00B50332"/>
    <w:rsid w:val="00B50B50"/>
    <w:rsid w:val="00B5399C"/>
    <w:rsid w:val="00B57B1F"/>
    <w:rsid w:val="00B644B4"/>
    <w:rsid w:val="00B77C60"/>
    <w:rsid w:val="00B81BBC"/>
    <w:rsid w:val="00B8583E"/>
    <w:rsid w:val="00B85F31"/>
    <w:rsid w:val="00B878E2"/>
    <w:rsid w:val="00BA2581"/>
    <w:rsid w:val="00BA2996"/>
    <w:rsid w:val="00BA4E1D"/>
    <w:rsid w:val="00BA5E9B"/>
    <w:rsid w:val="00BB04BE"/>
    <w:rsid w:val="00BB2F8A"/>
    <w:rsid w:val="00BB6A3F"/>
    <w:rsid w:val="00BC1BAA"/>
    <w:rsid w:val="00BC343F"/>
    <w:rsid w:val="00BC3480"/>
    <w:rsid w:val="00BC5EE6"/>
    <w:rsid w:val="00BD6FC8"/>
    <w:rsid w:val="00BE5F4A"/>
    <w:rsid w:val="00BF0616"/>
    <w:rsid w:val="00BF0D72"/>
    <w:rsid w:val="00BF2DD5"/>
    <w:rsid w:val="00BF4B84"/>
    <w:rsid w:val="00BF4C12"/>
    <w:rsid w:val="00BF4E89"/>
    <w:rsid w:val="00BF6A1B"/>
    <w:rsid w:val="00C0465D"/>
    <w:rsid w:val="00C148CA"/>
    <w:rsid w:val="00C1668A"/>
    <w:rsid w:val="00C20F24"/>
    <w:rsid w:val="00C260A7"/>
    <w:rsid w:val="00C2681F"/>
    <w:rsid w:val="00C30577"/>
    <w:rsid w:val="00C32D8F"/>
    <w:rsid w:val="00C40B0E"/>
    <w:rsid w:val="00C4691E"/>
    <w:rsid w:val="00C477B9"/>
    <w:rsid w:val="00C51452"/>
    <w:rsid w:val="00C545A9"/>
    <w:rsid w:val="00C5556E"/>
    <w:rsid w:val="00C5573B"/>
    <w:rsid w:val="00C563B8"/>
    <w:rsid w:val="00C61024"/>
    <w:rsid w:val="00C63017"/>
    <w:rsid w:val="00C64F00"/>
    <w:rsid w:val="00C655F1"/>
    <w:rsid w:val="00C660F5"/>
    <w:rsid w:val="00C71075"/>
    <w:rsid w:val="00C726A4"/>
    <w:rsid w:val="00C8226F"/>
    <w:rsid w:val="00C946AA"/>
    <w:rsid w:val="00C9721A"/>
    <w:rsid w:val="00CA02DB"/>
    <w:rsid w:val="00CA2492"/>
    <w:rsid w:val="00CA5E25"/>
    <w:rsid w:val="00CA7E72"/>
    <w:rsid w:val="00CB1074"/>
    <w:rsid w:val="00CB45A5"/>
    <w:rsid w:val="00CB61A8"/>
    <w:rsid w:val="00CC2B04"/>
    <w:rsid w:val="00CC2E53"/>
    <w:rsid w:val="00CC309C"/>
    <w:rsid w:val="00CC7D4E"/>
    <w:rsid w:val="00CD138E"/>
    <w:rsid w:val="00CD3765"/>
    <w:rsid w:val="00CD3A19"/>
    <w:rsid w:val="00CD3BD7"/>
    <w:rsid w:val="00CD53F1"/>
    <w:rsid w:val="00CD5792"/>
    <w:rsid w:val="00CE0CEC"/>
    <w:rsid w:val="00CE1CC2"/>
    <w:rsid w:val="00CE20B8"/>
    <w:rsid w:val="00CE3515"/>
    <w:rsid w:val="00CE541E"/>
    <w:rsid w:val="00CE59C8"/>
    <w:rsid w:val="00CF08D4"/>
    <w:rsid w:val="00CF1737"/>
    <w:rsid w:val="00CF43B3"/>
    <w:rsid w:val="00CF471A"/>
    <w:rsid w:val="00D00F34"/>
    <w:rsid w:val="00D031E2"/>
    <w:rsid w:val="00D174C5"/>
    <w:rsid w:val="00D206EA"/>
    <w:rsid w:val="00D212ED"/>
    <w:rsid w:val="00D25A05"/>
    <w:rsid w:val="00D25F79"/>
    <w:rsid w:val="00D32075"/>
    <w:rsid w:val="00D34EE2"/>
    <w:rsid w:val="00D4343F"/>
    <w:rsid w:val="00D514E0"/>
    <w:rsid w:val="00D6488C"/>
    <w:rsid w:val="00D7155C"/>
    <w:rsid w:val="00D74077"/>
    <w:rsid w:val="00D749E2"/>
    <w:rsid w:val="00D83566"/>
    <w:rsid w:val="00D838EE"/>
    <w:rsid w:val="00D84D89"/>
    <w:rsid w:val="00D85392"/>
    <w:rsid w:val="00D927ED"/>
    <w:rsid w:val="00DA063E"/>
    <w:rsid w:val="00DB162A"/>
    <w:rsid w:val="00DB6DCE"/>
    <w:rsid w:val="00DC0F41"/>
    <w:rsid w:val="00DC1868"/>
    <w:rsid w:val="00DC5130"/>
    <w:rsid w:val="00DD4871"/>
    <w:rsid w:val="00DD6C3F"/>
    <w:rsid w:val="00DE2265"/>
    <w:rsid w:val="00DF381F"/>
    <w:rsid w:val="00DF467C"/>
    <w:rsid w:val="00DF5028"/>
    <w:rsid w:val="00DF5B77"/>
    <w:rsid w:val="00DF5CA4"/>
    <w:rsid w:val="00E018C8"/>
    <w:rsid w:val="00E01A77"/>
    <w:rsid w:val="00E01C84"/>
    <w:rsid w:val="00E15940"/>
    <w:rsid w:val="00E15D72"/>
    <w:rsid w:val="00E26001"/>
    <w:rsid w:val="00E32967"/>
    <w:rsid w:val="00E34AA6"/>
    <w:rsid w:val="00E45209"/>
    <w:rsid w:val="00E5022A"/>
    <w:rsid w:val="00E53CD3"/>
    <w:rsid w:val="00E54C85"/>
    <w:rsid w:val="00E705F2"/>
    <w:rsid w:val="00E87E4C"/>
    <w:rsid w:val="00E909C4"/>
    <w:rsid w:val="00E940A7"/>
    <w:rsid w:val="00E96B50"/>
    <w:rsid w:val="00EA4ABF"/>
    <w:rsid w:val="00EA62FB"/>
    <w:rsid w:val="00EA7B01"/>
    <w:rsid w:val="00EB2EAF"/>
    <w:rsid w:val="00EB3400"/>
    <w:rsid w:val="00EB65A8"/>
    <w:rsid w:val="00EB76BD"/>
    <w:rsid w:val="00EC0521"/>
    <w:rsid w:val="00EC1D6F"/>
    <w:rsid w:val="00EC1FCD"/>
    <w:rsid w:val="00EC3D53"/>
    <w:rsid w:val="00EC59CB"/>
    <w:rsid w:val="00ED0556"/>
    <w:rsid w:val="00ED74BC"/>
    <w:rsid w:val="00EE3788"/>
    <w:rsid w:val="00EE76F9"/>
    <w:rsid w:val="00EF13E7"/>
    <w:rsid w:val="00EF4285"/>
    <w:rsid w:val="00EF5A94"/>
    <w:rsid w:val="00F01704"/>
    <w:rsid w:val="00F01822"/>
    <w:rsid w:val="00F02C4C"/>
    <w:rsid w:val="00F0662C"/>
    <w:rsid w:val="00F1054A"/>
    <w:rsid w:val="00F12244"/>
    <w:rsid w:val="00F15048"/>
    <w:rsid w:val="00F208EF"/>
    <w:rsid w:val="00F30376"/>
    <w:rsid w:val="00F3135E"/>
    <w:rsid w:val="00F32860"/>
    <w:rsid w:val="00F33B3D"/>
    <w:rsid w:val="00F34CCC"/>
    <w:rsid w:val="00F40189"/>
    <w:rsid w:val="00F455AF"/>
    <w:rsid w:val="00F470CE"/>
    <w:rsid w:val="00F51463"/>
    <w:rsid w:val="00F51B1A"/>
    <w:rsid w:val="00F52363"/>
    <w:rsid w:val="00F53C73"/>
    <w:rsid w:val="00F5486D"/>
    <w:rsid w:val="00F61DD9"/>
    <w:rsid w:val="00F70003"/>
    <w:rsid w:val="00F70F5F"/>
    <w:rsid w:val="00F717D4"/>
    <w:rsid w:val="00F7346A"/>
    <w:rsid w:val="00F80392"/>
    <w:rsid w:val="00F80E67"/>
    <w:rsid w:val="00F83B89"/>
    <w:rsid w:val="00F85A8C"/>
    <w:rsid w:val="00F91764"/>
    <w:rsid w:val="00F95115"/>
    <w:rsid w:val="00FA04B5"/>
    <w:rsid w:val="00FA4542"/>
    <w:rsid w:val="00FA6477"/>
    <w:rsid w:val="00FA68E2"/>
    <w:rsid w:val="00FB0AA3"/>
    <w:rsid w:val="00FB51EB"/>
    <w:rsid w:val="00FC0E73"/>
    <w:rsid w:val="00FC4BCE"/>
    <w:rsid w:val="00FC5B59"/>
    <w:rsid w:val="00FD5737"/>
    <w:rsid w:val="00FD5CA4"/>
    <w:rsid w:val="00FD76B2"/>
    <w:rsid w:val="00FD7D70"/>
    <w:rsid w:val="00FE4E3F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4F43"/>
  <w15:docId w15:val="{97FF80ED-F68A-47F6-BBB5-71D68C99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AB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uiPriority w:val="99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7F7C"/>
    <w:pPr>
      <w:ind w:left="720"/>
      <w:contextualSpacing/>
    </w:pPr>
  </w:style>
  <w:style w:type="character" w:styleId="Lienhypertexte">
    <w:name w:val="Hyperlink"/>
    <w:basedOn w:val="Policepardfaut"/>
    <w:rsid w:val="00590BD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597212"/>
    <w:rPr>
      <w:sz w:val="16"/>
      <w:szCs w:val="16"/>
    </w:rPr>
  </w:style>
  <w:style w:type="paragraph" w:styleId="Commentaire">
    <w:name w:val="annotation text"/>
    <w:basedOn w:val="Normal"/>
    <w:link w:val="CommentaireCar"/>
    <w:rsid w:val="005972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97212"/>
  </w:style>
  <w:style w:type="paragraph" w:styleId="Objetducommentaire">
    <w:name w:val="annotation subject"/>
    <w:basedOn w:val="Commentaire"/>
    <w:next w:val="Commentaire"/>
    <w:link w:val="ObjetducommentaireCar"/>
    <w:rsid w:val="005972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97212"/>
    <w:rPr>
      <w:b/>
      <w:bCs/>
    </w:rPr>
  </w:style>
  <w:style w:type="character" w:styleId="lev">
    <w:name w:val="Strong"/>
    <w:basedOn w:val="Policepardfaut"/>
    <w:uiPriority w:val="22"/>
    <w:qFormat/>
    <w:rsid w:val="00064312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1D0ED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ED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0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11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-paca-dprs-astp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ca.ars.sante.fr/zonages-des-professionnels-de-sante-liberaux-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E82D-82A4-439E-9AC5-D980F915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221</TotalTime>
  <Pages>5</Pages>
  <Words>1150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MROIVILI, Ramata (ARS-PACA/DPRS/DRHS)</cp:lastModifiedBy>
  <cp:revision>15</cp:revision>
  <cp:lastPrinted>2019-01-22T08:24:00Z</cp:lastPrinted>
  <dcterms:created xsi:type="dcterms:W3CDTF">2023-05-15T08:35:00Z</dcterms:created>
  <dcterms:modified xsi:type="dcterms:W3CDTF">2025-04-15T14:03:00Z</dcterms:modified>
</cp:coreProperties>
</file>