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1B" w:rsidRDefault="00C95AA1" w:rsidP="004D2D4A">
      <w:pPr>
        <w:jc w:val="both"/>
        <w:rPr>
          <w:rFonts w:ascii="Bookman Old Style" w:hAnsi="Bookman Old Style" w:cs="Arial"/>
          <w:b/>
          <w:color w:val="76923C" w:themeColor="accent3" w:themeShade="BF"/>
        </w:rPr>
      </w:pPr>
      <w:bookmarkStart w:id="0" w:name="_GoBack"/>
      <w:bookmarkEnd w:id="0"/>
      <w:r w:rsidRPr="00727E0A">
        <w:rPr>
          <w:rFonts w:ascii="Bookman Old Style" w:hAnsi="Bookman Old Style"/>
          <w:noProof/>
        </w:rPr>
        <w:drawing>
          <wp:inline distT="0" distB="0" distL="0" distR="0" wp14:anchorId="4F037171" wp14:editId="5223E4E0">
            <wp:extent cx="1560830" cy="1238250"/>
            <wp:effectExtent l="0" t="0" r="0" b="0"/>
            <wp:docPr id="1" name="Image 1" descr="http://www.intranet.ars.sante.fr/fileadmin/private/PACA/S_organiser_au_quotidien/Creer_un_document/logos/Basse_definition/arsP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tranet.ars.sante.fr/fileadmin/private/PACA/S_organiser_au_quotidien/Creer_un_document/logos/Basse_definition/arsPa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741" cy="123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AA1">
        <w:rPr>
          <w:rFonts w:ascii="Bookman Old Style" w:hAnsi="Bookman Old Style" w:cs="Arial"/>
          <w:b/>
          <w:color w:val="76923C" w:themeColor="accent3" w:themeShade="BF"/>
        </w:rPr>
        <w:t xml:space="preserve"> </w:t>
      </w:r>
    </w:p>
    <w:p w:rsidR="003E75BE" w:rsidRPr="002C531B" w:rsidRDefault="002C531B" w:rsidP="002C531B">
      <w:pPr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Cahier des charges relatif à l’a</w:t>
      </w:r>
      <w:r w:rsidRPr="002C531B">
        <w:rPr>
          <w:rFonts w:ascii="Bookman Old Style" w:hAnsi="Bookman Old Style" w:cs="Arial"/>
          <w:b/>
        </w:rPr>
        <w:t xml:space="preserve">ppels à candidatures des </w:t>
      </w:r>
      <w:r w:rsidR="00C95AA1" w:rsidRPr="002C531B">
        <w:rPr>
          <w:rFonts w:ascii="Bookman Old Style" w:hAnsi="Bookman Old Style" w:cs="Arial"/>
          <w:b/>
        </w:rPr>
        <w:t>Assistants Spécialistes à Temps Partagé(ASTP)</w:t>
      </w:r>
      <w:r w:rsidRPr="002C531B">
        <w:rPr>
          <w:rFonts w:ascii="Bookman Old Style" w:hAnsi="Bookman Old Style" w:cs="Arial"/>
          <w:b/>
        </w:rPr>
        <w:t xml:space="preserve"> campagne 202</w:t>
      </w:r>
      <w:r w:rsidR="004515FA">
        <w:rPr>
          <w:rFonts w:ascii="Bookman Old Style" w:hAnsi="Bookman Old Style" w:cs="Arial"/>
          <w:b/>
        </w:rPr>
        <w:t>4</w:t>
      </w:r>
      <w:r w:rsidRPr="002C531B">
        <w:rPr>
          <w:rFonts w:ascii="Bookman Old Style" w:hAnsi="Bookman Old Style" w:cs="Arial"/>
          <w:b/>
        </w:rPr>
        <w:t xml:space="preserve"> </w:t>
      </w:r>
    </w:p>
    <w:p w:rsidR="00E9009F" w:rsidRPr="00E9009F" w:rsidRDefault="00E9009F" w:rsidP="004D2D4A">
      <w:pPr>
        <w:jc w:val="both"/>
        <w:rPr>
          <w:rFonts w:ascii="Bookman Old Style" w:hAnsi="Bookman Old Style" w:cs="Arial"/>
        </w:rPr>
      </w:pPr>
    </w:p>
    <w:p w:rsidR="00C95AA1" w:rsidRDefault="00C95AA1" w:rsidP="004D2D4A">
      <w:pPr>
        <w:jc w:val="both"/>
        <w:rPr>
          <w:rFonts w:ascii="Bookman Old Style" w:hAnsi="Bookman Old Style" w:cs="Arial"/>
          <w:sz w:val="20"/>
          <w:szCs w:val="20"/>
        </w:rPr>
      </w:pPr>
    </w:p>
    <w:p w:rsidR="005A47AA" w:rsidRPr="00E9009F" w:rsidRDefault="005A47AA" w:rsidP="004D2D4A">
      <w:pPr>
        <w:jc w:val="both"/>
        <w:rPr>
          <w:rFonts w:ascii="Bookman Old Style" w:hAnsi="Bookman Old Style" w:cs="Arial"/>
          <w:sz w:val="20"/>
          <w:szCs w:val="20"/>
        </w:rPr>
      </w:pPr>
    </w:p>
    <w:p w:rsidR="00C95AA1" w:rsidRPr="005A47AA" w:rsidRDefault="00C95AA1" w:rsidP="00C95AA1">
      <w:pPr>
        <w:rPr>
          <w:rFonts w:ascii="Bookman Old Style" w:eastAsia="Calibri" w:hAnsi="Bookman Old Style"/>
          <w:bCs/>
          <w:i/>
          <w:sz w:val="22"/>
          <w:szCs w:val="22"/>
          <w:lang w:eastAsia="en-US"/>
        </w:rPr>
      </w:pPr>
    </w:p>
    <w:p w:rsidR="00D10024" w:rsidRPr="002C1BC3" w:rsidRDefault="00CB7C33" w:rsidP="00C95AA1">
      <w:pPr>
        <w:pStyle w:val="Paragraphedeliste"/>
        <w:numPr>
          <w:ilvl w:val="0"/>
          <w:numId w:val="13"/>
        </w:numPr>
        <w:spacing w:after="200" w:line="276" w:lineRule="auto"/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</w:pPr>
      <w:r w:rsidRPr="002C1BC3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>Cadre de l’appel à candida</w:t>
      </w:r>
      <w:r w:rsidR="00E9009F" w:rsidRPr="002C1BC3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>tures</w:t>
      </w:r>
      <w:r w:rsidR="002C531B" w:rsidRPr="002C1BC3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 xml:space="preserve"> </w:t>
      </w:r>
    </w:p>
    <w:p w:rsidR="00E9009F" w:rsidRPr="005A47AA" w:rsidRDefault="00E9009F" w:rsidP="00E9009F">
      <w:pPr>
        <w:pStyle w:val="Paragraphedeliste"/>
        <w:spacing w:after="200" w:line="276" w:lineRule="auto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</w:p>
    <w:p w:rsidR="00C86394" w:rsidRPr="005A47AA" w:rsidRDefault="00C86394" w:rsidP="00C86394">
      <w:pPr>
        <w:spacing w:after="200" w:line="276" w:lineRule="auto"/>
        <w:jc w:val="both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L’agence régionale de santé Provence-Alpes-Côte d’Azur a fait des ressources humaines en santé une priorité.</w:t>
      </w:r>
    </w:p>
    <w:p w:rsidR="00C86394" w:rsidRPr="005A47AA" w:rsidRDefault="00B61BA5" w:rsidP="00C86394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Dans la continuité de la politique développée depuis 2019, l’ARS Paca lanc</w:t>
      </w:r>
      <w:r w:rsidR="0076410E">
        <w:rPr>
          <w:rFonts w:ascii="Bookman Old Style" w:eastAsia="Calibri" w:hAnsi="Bookman Old Style"/>
          <w:bCs/>
          <w:sz w:val="22"/>
          <w:szCs w:val="22"/>
          <w:lang w:eastAsia="en-US"/>
        </w:rPr>
        <w:t>e cet appel à candidatures 2024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pour permettre aux établissements de santé (publics et ESPIC)</w:t>
      </w:r>
      <w:r w:rsidR="00F97806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de recruter des assistants </w:t>
      </w:r>
      <w:r w:rsidR="00C86394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spécialistes à temps partagés (ASTP) entre 2 sites : </w:t>
      </w:r>
    </w:p>
    <w:p w:rsidR="00C86394" w:rsidRPr="005A47AA" w:rsidRDefault="00C86394" w:rsidP="00C86394">
      <w:pPr>
        <w:pStyle w:val="Paragraphedeliste"/>
        <w:numPr>
          <w:ilvl w:val="0"/>
          <w:numId w:val="31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Entre établissements de santé,</w:t>
      </w:r>
    </w:p>
    <w:p w:rsidR="00C86394" w:rsidRPr="005A47AA" w:rsidRDefault="00C86394" w:rsidP="00C86394">
      <w:pPr>
        <w:pStyle w:val="Paragraphedeliste"/>
        <w:numPr>
          <w:ilvl w:val="0"/>
          <w:numId w:val="31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Entre un établissement de santé et une structure ambulatoire (ville /hôpital),</w:t>
      </w:r>
    </w:p>
    <w:p w:rsidR="0076410E" w:rsidRDefault="00C86394" w:rsidP="000945D3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Ce </w:t>
      </w:r>
      <w:r w:rsidR="002E317D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dispositif de soutien à la démographie médicale </w:t>
      </w:r>
      <w:r w:rsidR="0076410E">
        <w:rPr>
          <w:rFonts w:ascii="Bookman Old Style" w:eastAsia="Calibri" w:hAnsi="Bookman Old Style"/>
          <w:bCs/>
          <w:sz w:val="22"/>
          <w:szCs w:val="22"/>
          <w:lang w:eastAsia="en-US"/>
        </w:rPr>
        <w:t>est destiné aux jeunes médecins qui souhaitent parfaire leur formation.</w:t>
      </w:r>
    </w:p>
    <w:p w:rsidR="0076410E" w:rsidRDefault="0076410E" w:rsidP="000945D3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727E0A" w:rsidRDefault="0076410E" w:rsidP="000945D3">
      <w:pPr>
        <w:jc w:val="both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Un</w:t>
      </w:r>
      <w:r w:rsidR="00B059D5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poste d</w:t>
      </w:r>
      <w:r w:rsidR="00040817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’assistant à temps partagé </w:t>
      </w:r>
      <w:r w:rsidR="00B059D5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correspond à</w:t>
      </w:r>
      <w:r w:rsidR="00040817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une activité de </w:t>
      </w:r>
      <w:r w:rsidR="00040817" w:rsidRPr="005A47A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2 ans.</w:t>
      </w:r>
      <w:r w:rsidR="00F8301E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 xml:space="preserve"> </w:t>
      </w:r>
    </w:p>
    <w:p w:rsidR="00F8301E" w:rsidRDefault="00F8301E" w:rsidP="000945D3">
      <w:pPr>
        <w:jc w:val="both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</w:p>
    <w:p w:rsidR="00F8301E" w:rsidRPr="00F8301E" w:rsidRDefault="00F8301E" w:rsidP="000945D3">
      <w:pPr>
        <w:jc w:val="both"/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</w:pPr>
      <w:r w:rsidRPr="00F8301E">
        <w:rPr>
          <w:rFonts w:ascii="Bookman Old Style" w:eastAsia="Calibri" w:hAnsi="Bookman Old Style"/>
          <w:b/>
          <w:bCs/>
          <w:color w:val="FF0000"/>
          <w:sz w:val="22"/>
          <w:szCs w:val="22"/>
          <w:u w:val="single"/>
          <w:lang w:eastAsia="en-US"/>
        </w:rPr>
        <w:t>Attention</w:t>
      </w:r>
      <w:r w:rsidRPr="00F8301E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 : Les médecins ayant réalisé une année de docteur junior devront également effectuer 2 années d’assistan</w:t>
      </w:r>
      <w:r w:rsidR="0076410E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a</w:t>
      </w:r>
      <w:r w:rsidRPr="00F8301E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 xml:space="preserve">t. </w:t>
      </w:r>
    </w:p>
    <w:p w:rsidR="008F35CB" w:rsidRDefault="008F35CB" w:rsidP="000945D3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040817" w:rsidRPr="005A47AA" w:rsidRDefault="00B059D5" w:rsidP="000945D3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L’ASTP</w:t>
      </w:r>
      <w:r w:rsidR="00EF4285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="00040817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assure des missions cliniques mais également des activités pédagogiques, d’enseignement et de recherche.</w:t>
      </w:r>
    </w:p>
    <w:p w:rsidR="00E9009F" w:rsidRPr="005A47AA" w:rsidRDefault="00E9009F" w:rsidP="000945D3">
      <w:pPr>
        <w:jc w:val="both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</w:p>
    <w:p w:rsidR="00040817" w:rsidRPr="005A47AA" w:rsidRDefault="00040817" w:rsidP="000945D3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 xml:space="preserve">Toutes les spécialités peuvent être </w:t>
      </w:r>
      <w:r w:rsidR="00715936" w:rsidRPr="005A47A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concernées</w:t>
      </w:r>
      <w:r w:rsidR="00C86394" w:rsidRPr="005A47A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 xml:space="preserve">, </w:t>
      </w:r>
      <w:r w:rsidR="00C86394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si elles répondent au projet médical partagé du territoire et s’inscrit dans un projet professionnel visant à renforcer les équipes professionnelles de la région</w:t>
      </w:r>
      <w:r w:rsidR="00235848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.</w:t>
      </w:r>
    </w:p>
    <w:p w:rsidR="004E46A2" w:rsidRPr="005A47AA" w:rsidRDefault="004E46A2" w:rsidP="000945D3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4E46A2" w:rsidRDefault="005E6F02" w:rsidP="004E46A2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Il s’agit de permettre</w:t>
      </w:r>
      <w:r w:rsidR="004E46A2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de créer des postes passerelles entre l’internat et l’installation </w:t>
      </w:r>
      <w:r w:rsidR="00B059D5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en libéral </w:t>
      </w:r>
      <w:r w:rsidR="004E46A2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ou le recrutement en établissement hospitalier.</w:t>
      </w:r>
    </w:p>
    <w:p w:rsidR="00FD0BE6" w:rsidRDefault="00FD0BE6" w:rsidP="00FD0BE6">
      <w:pPr>
        <w:jc w:val="both"/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</w:pPr>
    </w:p>
    <w:p w:rsidR="00FD0BE6" w:rsidRPr="00F8301E" w:rsidRDefault="00FD0BE6" w:rsidP="00FD0BE6">
      <w:pPr>
        <w:jc w:val="both"/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</w:pPr>
      <w:r w:rsidRPr="00F8301E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Le dispositif ASTP n’a pas pour vocation l’obtention du secteur 2.</w:t>
      </w:r>
    </w:p>
    <w:p w:rsidR="00FD0BE6" w:rsidRPr="005A47AA" w:rsidRDefault="00FD0BE6" w:rsidP="004E46A2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4E46A2" w:rsidRPr="005A47AA" w:rsidRDefault="004E46A2" w:rsidP="004E46A2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Les objectifs du dispositif sont :</w:t>
      </w:r>
    </w:p>
    <w:p w:rsidR="00D10024" w:rsidRPr="005A47AA" w:rsidRDefault="00D10024" w:rsidP="00D10024">
      <w:pPr>
        <w:pStyle w:val="Paragraphedeliste"/>
        <w:numPr>
          <w:ilvl w:val="0"/>
          <w:numId w:val="16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lastRenderedPageBreak/>
        <w:t>De consolider les équipes médicales des établissements et territoires en difficulté de recrutement</w:t>
      </w:r>
    </w:p>
    <w:p w:rsidR="00C86394" w:rsidRPr="005A47AA" w:rsidRDefault="00C86394" w:rsidP="00C86394">
      <w:pPr>
        <w:pStyle w:val="Paragraphedeliste"/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D10024" w:rsidRPr="005A47AA" w:rsidRDefault="00D10024" w:rsidP="00D10024">
      <w:pPr>
        <w:pStyle w:val="Paragraphedeliste"/>
        <w:numPr>
          <w:ilvl w:val="0"/>
          <w:numId w:val="16"/>
        </w:numPr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De favoriser l’exercice hors CHU et à terme de faciliter l’installation des médecins en périphérie.</w:t>
      </w:r>
    </w:p>
    <w:p w:rsidR="00D10024" w:rsidRPr="005A47AA" w:rsidRDefault="00D10024" w:rsidP="00D10024">
      <w:pPr>
        <w:pStyle w:val="Paragraphedeliste"/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D10024" w:rsidRPr="005A47AA" w:rsidRDefault="004E46A2" w:rsidP="004E46A2">
      <w:pPr>
        <w:pStyle w:val="Paragraphedeliste"/>
        <w:numPr>
          <w:ilvl w:val="0"/>
          <w:numId w:val="16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De soutenir les projets professionnels </w:t>
      </w:r>
      <w:r w:rsidR="00713803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hospitaliers et / ou universitaires 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en permettant à de jeunes médecins de parfaire leur formation post internat</w:t>
      </w:r>
      <w:r w:rsidR="00D10024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</w:p>
    <w:p w:rsidR="00D10024" w:rsidRPr="005A47AA" w:rsidRDefault="00D10024" w:rsidP="00D10024">
      <w:pPr>
        <w:pStyle w:val="Paragraphedeliste"/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D10024" w:rsidRPr="005A47AA" w:rsidRDefault="00D10024" w:rsidP="00D10024">
      <w:pPr>
        <w:pStyle w:val="Paragraphedeliste"/>
        <w:numPr>
          <w:ilvl w:val="0"/>
          <w:numId w:val="16"/>
        </w:numPr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De permettre aux jeunes médecins de participer à l’encadrement d’internes et étudiants en santé.</w:t>
      </w:r>
    </w:p>
    <w:p w:rsidR="00D10024" w:rsidRPr="005A47AA" w:rsidRDefault="00D10024" w:rsidP="00D10024">
      <w:pPr>
        <w:pStyle w:val="Paragraphedeliste"/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76410E" w:rsidRDefault="004E46A2" w:rsidP="0076410E">
      <w:pPr>
        <w:pStyle w:val="Paragraphedeliste"/>
        <w:numPr>
          <w:ilvl w:val="0"/>
          <w:numId w:val="16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De </w:t>
      </w:r>
      <w:r w:rsidR="00713803">
        <w:rPr>
          <w:rFonts w:ascii="Bookman Old Style" w:eastAsia="Calibri" w:hAnsi="Bookman Old Style"/>
          <w:bCs/>
          <w:sz w:val="22"/>
          <w:szCs w:val="22"/>
          <w:lang w:eastAsia="en-US"/>
        </w:rPr>
        <w:t>contribuer à développer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la coopération entre établissements</w:t>
      </w:r>
      <w:r w:rsidR="00D10024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ou mettre en place des projets médicaux</w:t>
      </w:r>
      <w:r w:rsidR="00713803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partagés, notamment au sein des</w:t>
      </w:r>
      <w:r w:rsidR="00DA50BC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GHT,</w:t>
      </w:r>
      <w:r w:rsidR="00D10024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le CHU</w:t>
      </w:r>
      <w:r w:rsidR="00DA50BC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…</w:t>
      </w:r>
      <w:r w:rsidR="00D10024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, afin de garantir la gradation des soins</w:t>
      </w:r>
      <w:r w:rsidR="00DA50BC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hospitaliers et contribuer au développement des stratégies médicales et soignantes de territoire. </w:t>
      </w:r>
    </w:p>
    <w:p w:rsidR="0076410E" w:rsidRPr="0076410E" w:rsidRDefault="0076410E" w:rsidP="0076410E">
      <w:pPr>
        <w:pStyle w:val="Paragraphedeliste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76410E" w:rsidRPr="0076410E" w:rsidRDefault="0076410E" w:rsidP="0076410E">
      <w:pPr>
        <w:pStyle w:val="Paragraphedeliste"/>
        <w:numPr>
          <w:ilvl w:val="0"/>
          <w:numId w:val="16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De renforcer le lien entre ville-hôpital et l’accès territorial aux soins</w:t>
      </w:r>
    </w:p>
    <w:tbl>
      <w:tblPr>
        <w:tblW w:w="9630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F8301E" w:rsidTr="00F8301E">
        <w:trPr>
          <w:trHeight w:val="1980"/>
        </w:trPr>
        <w:tc>
          <w:tcPr>
            <w:tcW w:w="9630" w:type="dxa"/>
          </w:tcPr>
          <w:p w:rsidR="00F8301E" w:rsidRPr="00F8301E" w:rsidRDefault="00F8301E" w:rsidP="00F8301E">
            <w:pPr>
              <w:spacing w:after="200" w:line="276" w:lineRule="auto"/>
              <w:ind w:left="203"/>
              <w:jc w:val="both"/>
              <w:rPr>
                <w:rFonts w:ascii="Bookman Old Style" w:eastAsia="Calibri" w:hAnsi="Bookman Old Style"/>
                <w:b/>
                <w:bCs/>
                <w:i/>
                <w:color w:val="00B050"/>
                <w:sz w:val="22"/>
                <w:szCs w:val="22"/>
                <w:lang w:eastAsia="en-US"/>
              </w:rPr>
            </w:pPr>
            <w:r w:rsidRPr="00F8301E">
              <w:rPr>
                <w:rFonts w:ascii="Bookman Old Style" w:eastAsia="Calibri" w:hAnsi="Bookman Old Style"/>
                <w:b/>
                <w:bCs/>
                <w:i/>
                <w:color w:val="00B050"/>
                <w:sz w:val="22"/>
                <w:szCs w:val="22"/>
                <w:lang w:eastAsia="en-US"/>
              </w:rPr>
              <w:t xml:space="preserve">NB : en accord avec la faculté de Médecine de Marseille : </w:t>
            </w:r>
          </w:p>
          <w:p w:rsidR="00F8301E" w:rsidRPr="00F8301E" w:rsidRDefault="00F8301E" w:rsidP="00F8301E">
            <w:pPr>
              <w:pStyle w:val="Paragraphedeliste"/>
              <w:numPr>
                <w:ilvl w:val="0"/>
                <w:numId w:val="30"/>
              </w:numPr>
              <w:spacing w:after="200" w:line="276" w:lineRule="auto"/>
              <w:ind w:left="923"/>
              <w:jc w:val="both"/>
              <w:rPr>
                <w:rFonts w:ascii="Bookman Old Style" w:eastAsia="Calibri" w:hAnsi="Bookman Old Style"/>
                <w:b/>
                <w:bCs/>
                <w:i/>
                <w:color w:val="00B050"/>
                <w:sz w:val="22"/>
                <w:szCs w:val="22"/>
                <w:lang w:eastAsia="en-US"/>
              </w:rPr>
            </w:pPr>
            <w:r w:rsidRPr="00F8301E">
              <w:rPr>
                <w:rFonts w:ascii="Bookman Old Style" w:eastAsia="Calibri" w:hAnsi="Bookman Old Style"/>
                <w:b/>
                <w:bCs/>
                <w:i/>
                <w:color w:val="00B050"/>
                <w:sz w:val="22"/>
                <w:szCs w:val="22"/>
                <w:lang w:eastAsia="en-US"/>
              </w:rPr>
              <w:t>Les candidats au dispositif ASTP ne pourront concourir à un poste de chef de clinique assistant (CCA)</w:t>
            </w:r>
          </w:p>
          <w:p w:rsidR="00F8301E" w:rsidRDefault="00F8301E" w:rsidP="00F8301E">
            <w:pPr>
              <w:spacing w:after="200" w:line="276" w:lineRule="auto"/>
              <w:ind w:left="203"/>
              <w:jc w:val="both"/>
              <w:rPr>
                <w:rFonts w:ascii="Bookman Old Style" w:eastAsia="Calibri" w:hAnsi="Bookman Old Style"/>
                <w:b/>
                <w:bCs/>
                <w:i/>
                <w:color w:val="00B050"/>
                <w:sz w:val="22"/>
                <w:szCs w:val="22"/>
                <w:lang w:eastAsia="en-US"/>
              </w:rPr>
            </w:pPr>
            <w:r w:rsidRPr="00F8301E">
              <w:rPr>
                <w:rFonts w:ascii="Bookman Old Style" w:eastAsia="Calibri" w:hAnsi="Bookman Old Style"/>
                <w:b/>
                <w:bCs/>
                <w:i/>
                <w:color w:val="00B050"/>
                <w:sz w:val="22"/>
                <w:szCs w:val="22"/>
                <w:lang w:eastAsia="en-US"/>
              </w:rPr>
              <w:t>Les AST</w:t>
            </w:r>
            <w:r w:rsidR="00083ED4">
              <w:rPr>
                <w:rFonts w:ascii="Bookman Old Style" w:eastAsia="Calibri" w:hAnsi="Bookman Old Style"/>
                <w:b/>
                <w:bCs/>
                <w:i/>
                <w:color w:val="00B050"/>
                <w:sz w:val="22"/>
                <w:szCs w:val="22"/>
                <w:lang w:eastAsia="en-US"/>
              </w:rPr>
              <w:t>P retenus pour la promotion 2024-2026</w:t>
            </w:r>
            <w:r w:rsidRPr="00F8301E">
              <w:rPr>
                <w:rFonts w:ascii="Bookman Old Style" w:eastAsia="Calibri" w:hAnsi="Bookman Old Style"/>
                <w:b/>
                <w:bCs/>
                <w:i/>
                <w:color w:val="00B050"/>
                <w:sz w:val="22"/>
                <w:szCs w:val="22"/>
                <w:lang w:eastAsia="en-US"/>
              </w:rPr>
              <w:t xml:space="preserve"> ne verront pas leur candidature de CCA instruite durant les 2 années de contrat.</w:t>
            </w:r>
          </w:p>
        </w:tc>
      </w:tr>
    </w:tbl>
    <w:p w:rsidR="005A47AA" w:rsidRPr="005A47AA" w:rsidRDefault="005A47AA" w:rsidP="005A47AA">
      <w:pPr>
        <w:pStyle w:val="Paragraphedeliste"/>
        <w:spacing w:after="200" w:line="276" w:lineRule="auto"/>
        <w:jc w:val="both"/>
        <w:rPr>
          <w:rFonts w:ascii="Bookman Old Style" w:eastAsia="Calibri" w:hAnsi="Bookman Old Style"/>
          <w:bCs/>
          <w:i/>
          <w:color w:val="FF0000"/>
          <w:sz w:val="22"/>
          <w:szCs w:val="22"/>
          <w:lang w:eastAsia="en-US"/>
        </w:rPr>
      </w:pPr>
    </w:p>
    <w:p w:rsidR="00DA50BC" w:rsidRPr="005A47AA" w:rsidRDefault="00DA50BC" w:rsidP="00DA50BC">
      <w:pPr>
        <w:pStyle w:val="Paragraphedeliste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B059D5" w:rsidRPr="002C1BC3" w:rsidRDefault="00273173" w:rsidP="0068674A">
      <w:pPr>
        <w:pStyle w:val="Paragraphedeliste"/>
        <w:numPr>
          <w:ilvl w:val="0"/>
          <w:numId w:val="13"/>
        </w:numPr>
        <w:spacing w:after="200" w:line="276" w:lineRule="auto"/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</w:pPr>
      <w:r w:rsidRPr="002C1BC3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>Disposition</w:t>
      </w:r>
      <w:r w:rsidR="002C531B" w:rsidRPr="002C1BC3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>s</w:t>
      </w:r>
      <w:r w:rsidRPr="002C1BC3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 xml:space="preserve"> réglementaires</w:t>
      </w:r>
    </w:p>
    <w:p w:rsidR="00B059D5" w:rsidRPr="005A47AA" w:rsidRDefault="00B059D5" w:rsidP="000945D3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273173" w:rsidRPr="005A47AA" w:rsidRDefault="00273173" w:rsidP="000945D3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Le statut d’assistant des hôpitaux (articles R6152-501 et suivants du CSP) prévoit que ce praticien ne peut être recruté que par un établissement public de santé (dit établissement recruteur).</w:t>
      </w:r>
      <w:r w:rsidR="002C531B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La demande devra être déposée uniquement par un établissement public</w:t>
      </w:r>
    </w:p>
    <w:p w:rsidR="00273173" w:rsidRPr="005A47AA" w:rsidRDefault="00273173" w:rsidP="000945D3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273173" w:rsidRPr="005A47AA" w:rsidRDefault="00273173" w:rsidP="000945D3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Le dispositif des ASTP bénéficie à 2 structures partenaires sur un projet médical partagé, l’établissement partenaire pouvant être :</w:t>
      </w:r>
    </w:p>
    <w:p w:rsidR="00273173" w:rsidRPr="005A47AA" w:rsidRDefault="00273173" w:rsidP="000945D3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273173" w:rsidRPr="005A47AA" w:rsidRDefault="00273173" w:rsidP="00273173">
      <w:pPr>
        <w:pStyle w:val="Paragraphedeliste"/>
        <w:numPr>
          <w:ilvl w:val="0"/>
          <w:numId w:val="32"/>
        </w:num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Centre hospitalier</w:t>
      </w:r>
    </w:p>
    <w:p w:rsidR="00273173" w:rsidRDefault="00273173" w:rsidP="00273173">
      <w:pPr>
        <w:pStyle w:val="Paragraphedeliste"/>
        <w:numPr>
          <w:ilvl w:val="0"/>
          <w:numId w:val="32"/>
        </w:num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Centre hospitalier universitaire</w:t>
      </w:r>
    </w:p>
    <w:p w:rsidR="00273173" w:rsidRPr="005A47AA" w:rsidRDefault="00273173" w:rsidP="00273173">
      <w:pPr>
        <w:pStyle w:val="Paragraphedeliste"/>
        <w:numPr>
          <w:ilvl w:val="0"/>
          <w:numId w:val="32"/>
        </w:num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Etablissement de santé privé d’intérêt collectif (ESPIC)</w:t>
      </w:r>
    </w:p>
    <w:p w:rsidR="0040308C" w:rsidRPr="005A47AA" w:rsidRDefault="0040308C" w:rsidP="00273173">
      <w:pPr>
        <w:pStyle w:val="Paragraphedeliste"/>
        <w:numPr>
          <w:ilvl w:val="0"/>
          <w:numId w:val="32"/>
        </w:num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Protection maternelle et infantile (PMI)</w:t>
      </w:r>
    </w:p>
    <w:p w:rsidR="00273173" w:rsidRPr="005A47AA" w:rsidRDefault="00273173" w:rsidP="00273173">
      <w:pPr>
        <w:pStyle w:val="Paragraphedeliste"/>
        <w:numPr>
          <w:ilvl w:val="0"/>
          <w:numId w:val="32"/>
        </w:num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Une structure ambulatoire</w:t>
      </w:r>
      <w:r w:rsidR="0040308C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située de préférence dans une zone d’intervention prioritaire (ZIP) ou une zone d’action complémentaires (ZAC), quartiers politique de la ville (QPV). Les structures ambulatoires possibles sont les : maisons de santé pluri-professionnelle (MSP), les centres de santé et les cabinets libéraux.</w:t>
      </w:r>
    </w:p>
    <w:p w:rsidR="0040308C" w:rsidRPr="005A47AA" w:rsidRDefault="0040308C" w:rsidP="0040308C">
      <w:pPr>
        <w:pStyle w:val="Paragraphedeliste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40308C" w:rsidRPr="005A47AA" w:rsidRDefault="0040308C" w:rsidP="0040308C">
      <w:pPr>
        <w:pStyle w:val="Paragraphedeliste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6A508C" w:rsidRPr="005A47AA" w:rsidRDefault="006A508C" w:rsidP="000945D3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lastRenderedPageBreak/>
        <w:t xml:space="preserve">Les </w:t>
      </w:r>
      <w:r w:rsidRPr="005A47A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 xml:space="preserve">assistants à temps partagé entre structures ambulatoires et établissements de santé 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d</w:t>
      </w:r>
      <w:r w:rsidR="00E9009F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oivent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permettre de renforcer l’accès territorial aux soins.</w:t>
      </w:r>
      <w:r w:rsidR="00B059D5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 </w:t>
      </w:r>
    </w:p>
    <w:p w:rsidR="004E46A2" w:rsidRPr="005A47AA" w:rsidRDefault="004E46A2" w:rsidP="000945D3">
      <w:pPr>
        <w:jc w:val="both"/>
        <w:rPr>
          <w:rFonts w:ascii="Bookman Old Style" w:eastAsia="Calibri" w:hAnsi="Bookman Old Style"/>
          <w:bCs/>
          <w:i/>
          <w:sz w:val="22"/>
          <w:szCs w:val="22"/>
          <w:lang w:eastAsia="en-US"/>
        </w:rPr>
      </w:pPr>
    </w:p>
    <w:p w:rsidR="004E46A2" w:rsidRPr="005A47AA" w:rsidRDefault="00B059D5" w:rsidP="000945D3">
      <w:pPr>
        <w:jc w:val="both"/>
        <w:rPr>
          <w:rFonts w:ascii="Bookman Old Style" w:eastAsia="Calibri" w:hAnsi="Bookman Old Style"/>
          <w:bCs/>
          <w:i/>
          <w:color w:val="000000" w:themeColor="text1"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i/>
          <w:color w:val="000000" w:themeColor="text1"/>
          <w:sz w:val="22"/>
          <w:szCs w:val="22"/>
          <w:lang w:eastAsia="en-US"/>
        </w:rPr>
        <w:t>Votre attention est appelée sur le mode de facturation particulier des consultations ambulatoires réalisées par l’assistant ville/hôpital</w:t>
      </w:r>
      <w:r w:rsidR="005D62EC" w:rsidRPr="005A47AA">
        <w:rPr>
          <w:rFonts w:ascii="Bookman Old Style" w:eastAsia="Calibri" w:hAnsi="Bookman Old Style"/>
          <w:bCs/>
          <w:i/>
          <w:color w:val="000000" w:themeColor="text1"/>
          <w:sz w:val="22"/>
          <w:szCs w:val="22"/>
          <w:lang w:eastAsia="en-US"/>
        </w:rPr>
        <w:t xml:space="preserve">. </w:t>
      </w:r>
    </w:p>
    <w:p w:rsidR="00727E0A" w:rsidRPr="005A47AA" w:rsidRDefault="00D13EF3" w:rsidP="000945D3">
      <w:pPr>
        <w:jc w:val="both"/>
        <w:rPr>
          <w:rFonts w:ascii="Bookman Old Style" w:eastAsia="Calibri" w:hAnsi="Bookman Old Style"/>
          <w:bCs/>
          <w:i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i/>
          <w:sz w:val="22"/>
          <w:szCs w:val="22"/>
          <w:lang w:eastAsia="en-US"/>
        </w:rPr>
        <w:t>L</w:t>
      </w:r>
      <w:r w:rsidR="000C7E58" w:rsidRPr="005A47AA">
        <w:rPr>
          <w:rFonts w:ascii="Bookman Old Style" w:eastAsia="Calibri" w:hAnsi="Bookman Old Style"/>
          <w:bCs/>
          <w:i/>
          <w:sz w:val="22"/>
          <w:szCs w:val="22"/>
          <w:lang w:eastAsia="en-US"/>
        </w:rPr>
        <w:t>’activité réalisée au sein de la structure ambulatoire est considérée comme une délocalisation de l’activité hospitalière : la structure ambulatoire ne perçoit pas d’honoraires, l’acte est considéré comme une consultation externe de l’hôpital</w:t>
      </w:r>
      <w:r w:rsidR="00453E34" w:rsidRPr="005A47AA">
        <w:rPr>
          <w:rFonts w:ascii="Bookman Old Style" w:eastAsia="Calibri" w:hAnsi="Bookman Old Style"/>
          <w:bCs/>
          <w:i/>
          <w:sz w:val="22"/>
          <w:szCs w:val="22"/>
          <w:lang w:eastAsia="en-US"/>
        </w:rPr>
        <w:t>. Et le</w:t>
      </w:r>
      <w:r w:rsidR="000C7E58" w:rsidRPr="005A47AA">
        <w:rPr>
          <w:rFonts w:ascii="Bookman Old Style" w:eastAsia="Calibri" w:hAnsi="Bookman Old Style"/>
          <w:bCs/>
          <w:i/>
          <w:sz w:val="22"/>
          <w:szCs w:val="22"/>
          <w:lang w:eastAsia="en-US"/>
        </w:rPr>
        <w:t xml:space="preserve"> </w:t>
      </w:r>
      <w:r w:rsidR="000945D3" w:rsidRPr="005A47AA">
        <w:rPr>
          <w:rFonts w:ascii="Bookman Old Style" w:eastAsia="Calibri" w:hAnsi="Bookman Old Style"/>
          <w:bCs/>
          <w:i/>
          <w:sz w:val="22"/>
          <w:szCs w:val="22"/>
          <w:lang w:eastAsia="en-US"/>
        </w:rPr>
        <w:t>paiement</w:t>
      </w:r>
      <w:r w:rsidR="000C7E58" w:rsidRPr="005A47AA">
        <w:rPr>
          <w:rFonts w:ascii="Bookman Old Style" w:eastAsia="Calibri" w:hAnsi="Bookman Old Style"/>
          <w:bCs/>
          <w:i/>
          <w:sz w:val="22"/>
          <w:szCs w:val="22"/>
          <w:lang w:eastAsia="en-US"/>
        </w:rPr>
        <w:t xml:space="preserve"> par le patient de son reste à payer se fait en différé après tiers payant sur la facture assurance maladie obligatoire, et le cas échéant tiers payant assurance maladie complémentaire, sur la base de l’avis des sommes à payer qu’il reçoit.</w:t>
      </w:r>
    </w:p>
    <w:p w:rsidR="000C7E58" w:rsidRPr="005A47AA" w:rsidRDefault="000C7E58" w:rsidP="000945D3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i/>
          <w:sz w:val="22"/>
          <w:szCs w:val="22"/>
          <w:lang w:eastAsia="en-US"/>
        </w:rPr>
        <w:t>C’est l’</w:t>
      </w:r>
      <w:r w:rsidR="000945D3" w:rsidRPr="005A47AA">
        <w:rPr>
          <w:rFonts w:ascii="Bookman Old Style" w:eastAsia="Calibri" w:hAnsi="Bookman Old Style"/>
          <w:bCs/>
          <w:i/>
          <w:sz w:val="22"/>
          <w:szCs w:val="22"/>
          <w:lang w:eastAsia="en-US"/>
        </w:rPr>
        <w:t>hôpital</w:t>
      </w:r>
      <w:r w:rsidRPr="005A47AA">
        <w:rPr>
          <w:rFonts w:ascii="Bookman Old Style" w:eastAsia="Calibri" w:hAnsi="Bookman Old Style"/>
          <w:bCs/>
          <w:i/>
          <w:sz w:val="22"/>
          <w:szCs w:val="22"/>
          <w:lang w:eastAsia="en-US"/>
        </w:rPr>
        <w:t xml:space="preserve"> qui facture la prestation et donc le dispositif de facturation individuelle de l’</w:t>
      </w:r>
      <w:r w:rsidR="000945D3" w:rsidRPr="005A47AA">
        <w:rPr>
          <w:rFonts w:ascii="Bookman Old Style" w:eastAsia="Calibri" w:hAnsi="Bookman Old Style"/>
          <w:bCs/>
          <w:i/>
          <w:sz w:val="22"/>
          <w:szCs w:val="22"/>
          <w:lang w:eastAsia="en-US"/>
        </w:rPr>
        <w:t>hôpital</w:t>
      </w:r>
      <w:r w:rsidRPr="005A47AA">
        <w:rPr>
          <w:rFonts w:ascii="Bookman Old Style" w:eastAsia="Calibri" w:hAnsi="Bookman Old Style"/>
          <w:bCs/>
          <w:i/>
          <w:sz w:val="22"/>
          <w:szCs w:val="22"/>
          <w:lang w:eastAsia="en-US"/>
        </w:rPr>
        <w:t xml:space="preserve"> est mis en œuvre. L</w:t>
      </w:r>
      <w:r w:rsidR="000945D3" w:rsidRPr="005A47AA">
        <w:rPr>
          <w:rFonts w:ascii="Bookman Old Style" w:eastAsia="Calibri" w:hAnsi="Bookman Old Style"/>
          <w:bCs/>
          <w:i/>
          <w:sz w:val="22"/>
          <w:szCs w:val="22"/>
          <w:lang w:eastAsia="en-US"/>
        </w:rPr>
        <w:t>e</w:t>
      </w:r>
      <w:r w:rsidRPr="005A47AA">
        <w:rPr>
          <w:rFonts w:ascii="Bookman Old Style" w:eastAsia="Calibri" w:hAnsi="Bookman Old Style"/>
          <w:bCs/>
          <w:i/>
          <w:sz w:val="22"/>
          <w:szCs w:val="22"/>
          <w:lang w:eastAsia="en-US"/>
        </w:rPr>
        <w:t xml:space="preserve"> patient n’a donc rien à verser lors de sa consultation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.</w:t>
      </w:r>
    </w:p>
    <w:p w:rsidR="00727E0A" w:rsidRPr="005A47AA" w:rsidRDefault="00727E0A" w:rsidP="00727E0A">
      <w:pPr>
        <w:pStyle w:val="Paragraphedeliste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4D6257" w:rsidRPr="005A47AA" w:rsidRDefault="004D6257" w:rsidP="00727E0A">
      <w:pPr>
        <w:pStyle w:val="Paragraphedeliste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235848" w:rsidRPr="002C1BC3" w:rsidRDefault="00727E0A" w:rsidP="00235848">
      <w:pPr>
        <w:pStyle w:val="Paragraphedeliste"/>
        <w:numPr>
          <w:ilvl w:val="0"/>
          <w:numId w:val="13"/>
        </w:numPr>
        <w:spacing w:after="200" w:line="276" w:lineRule="auto"/>
        <w:rPr>
          <w:rFonts w:ascii="Bookman Old Style" w:eastAsia="Calibri" w:hAnsi="Bookman Old Style"/>
          <w:b/>
          <w:sz w:val="22"/>
          <w:szCs w:val="22"/>
          <w:u w:val="single"/>
          <w:lang w:eastAsia="en-US"/>
        </w:rPr>
      </w:pPr>
      <w:r w:rsidRPr="002C1BC3">
        <w:rPr>
          <w:rFonts w:ascii="Bookman Old Style" w:eastAsia="Calibri" w:hAnsi="Bookman Old Style"/>
          <w:b/>
          <w:sz w:val="22"/>
          <w:szCs w:val="22"/>
          <w:u w:val="single"/>
          <w:lang w:eastAsia="en-US"/>
        </w:rPr>
        <w:t>Les M</w:t>
      </w:r>
      <w:r w:rsidR="002C531B" w:rsidRPr="002C1BC3">
        <w:rPr>
          <w:rFonts w:ascii="Bookman Old Style" w:eastAsia="Calibri" w:hAnsi="Bookman Old Style"/>
          <w:b/>
          <w:sz w:val="22"/>
          <w:szCs w:val="22"/>
          <w:u w:val="single"/>
          <w:lang w:eastAsia="en-US"/>
        </w:rPr>
        <w:t>odes</w:t>
      </w:r>
      <w:r w:rsidRPr="002C1BC3">
        <w:rPr>
          <w:rFonts w:ascii="Bookman Old Style" w:eastAsia="Calibri" w:hAnsi="Bookman Old Style"/>
          <w:b/>
          <w:sz w:val="22"/>
          <w:szCs w:val="22"/>
          <w:u w:val="single"/>
          <w:lang w:eastAsia="en-US"/>
        </w:rPr>
        <w:t xml:space="preserve"> de </w:t>
      </w:r>
      <w:r w:rsidR="002C531B" w:rsidRPr="002C1BC3">
        <w:rPr>
          <w:rFonts w:ascii="Bookman Old Style" w:eastAsia="Calibri" w:hAnsi="Bookman Old Style"/>
          <w:b/>
          <w:sz w:val="22"/>
          <w:szCs w:val="22"/>
          <w:u w:val="single"/>
          <w:lang w:eastAsia="en-US"/>
        </w:rPr>
        <w:t xml:space="preserve">Financements </w:t>
      </w:r>
    </w:p>
    <w:p w:rsidR="00CB7C33" w:rsidRPr="0068674A" w:rsidRDefault="00235848" w:rsidP="009E666A">
      <w:pP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68674A">
        <w:rPr>
          <w:rFonts w:ascii="Bookman Old Style" w:eastAsia="Calibri" w:hAnsi="Bookman Old Style"/>
          <w:sz w:val="22"/>
          <w:szCs w:val="22"/>
          <w:lang w:eastAsia="en-US"/>
        </w:rPr>
        <w:t>L’agence régionale de santé</w:t>
      </w:r>
      <w:r w:rsidR="0029496F" w:rsidRPr="0068674A">
        <w:rPr>
          <w:rFonts w:ascii="Bookman Old Style" w:eastAsia="Calibri" w:hAnsi="Bookman Old Style"/>
          <w:sz w:val="22"/>
          <w:szCs w:val="22"/>
          <w:lang w:eastAsia="en-US"/>
        </w:rPr>
        <w:t xml:space="preserve"> Provence-Alpes-Côte d’Azur prend en charge 80%</w:t>
      </w:r>
      <w:r w:rsidR="00CB7C33" w:rsidRPr="0068674A">
        <w:rPr>
          <w:rFonts w:ascii="Bookman Old Style" w:eastAsia="Calibri" w:hAnsi="Bookman Old Style"/>
          <w:sz w:val="22"/>
          <w:szCs w:val="22"/>
          <w:lang w:eastAsia="en-US"/>
        </w:rPr>
        <w:t xml:space="preserve"> (temps partagé entre hôpitaux) et 90% (temps partagé ville/hôpital)</w:t>
      </w:r>
      <w:r w:rsidR="0029496F" w:rsidRPr="0068674A">
        <w:rPr>
          <w:rFonts w:ascii="Bookman Old Style" w:eastAsia="Calibri" w:hAnsi="Bookman Old Style"/>
          <w:sz w:val="22"/>
          <w:szCs w:val="22"/>
          <w:lang w:eastAsia="en-US"/>
        </w:rPr>
        <w:t xml:space="preserve"> du cout du poste d’un assistant spécialiste des hôpitaux 1</w:t>
      </w:r>
      <w:r w:rsidR="0029496F" w:rsidRPr="0068674A">
        <w:rPr>
          <w:rFonts w:ascii="Bookman Old Style" w:eastAsia="Calibri" w:hAnsi="Bookman Old Style"/>
          <w:sz w:val="22"/>
          <w:szCs w:val="22"/>
          <w:vertAlign w:val="superscript"/>
          <w:lang w:eastAsia="en-US"/>
        </w:rPr>
        <w:t>er</w:t>
      </w:r>
      <w:r w:rsidR="0029496F" w:rsidRPr="0068674A">
        <w:rPr>
          <w:rFonts w:ascii="Bookman Old Style" w:eastAsia="Calibri" w:hAnsi="Bookman Old Style"/>
          <w:sz w:val="22"/>
          <w:szCs w:val="22"/>
          <w:lang w:eastAsia="en-US"/>
        </w:rPr>
        <w:t xml:space="preserve"> et 2</w:t>
      </w:r>
      <w:r w:rsidR="0029496F" w:rsidRPr="0068674A">
        <w:rPr>
          <w:rFonts w:ascii="Bookman Old Style" w:eastAsia="Calibri" w:hAnsi="Bookman Old Style"/>
          <w:sz w:val="22"/>
          <w:szCs w:val="22"/>
          <w:vertAlign w:val="superscript"/>
          <w:lang w:eastAsia="en-US"/>
        </w:rPr>
        <w:t>ème</w:t>
      </w:r>
      <w:r w:rsidR="0029496F" w:rsidRPr="0068674A">
        <w:rPr>
          <w:rFonts w:ascii="Bookman Old Style" w:eastAsia="Calibri" w:hAnsi="Bookman Old Style"/>
          <w:sz w:val="22"/>
          <w:szCs w:val="22"/>
          <w:lang w:eastAsia="en-US"/>
        </w:rPr>
        <w:t xml:space="preserve"> année et une prime d’exercice</w:t>
      </w:r>
      <w:r w:rsidR="00CB7C33" w:rsidRPr="0068674A">
        <w:rPr>
          <w:rFonts w:ascii="Bookman Old Style" w:eastAsia="Calibri" w:hAnsi="Bookman Old Style"/>
          <w:sz w:val="22"/>
          <w:szCs w:val="22"/>
          <w:lang w:eastAsia="en-US"/>
        </w:rPr>
        <w:t xml:space="preserve"> territorial (PET) forfaitaire. </w:t>
      </w:r>
    </w:p>
    <w:p w:rsidR="00235848" w:rsidRPr="0068674A" w:rsidRDefault="00CB7C33" w:rsidP="009E666A">
      <w:pP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68674A">
        <w:rPr>
          <w:rFonts w:ascii="Bookman Old Style" w:eastAsia="Calibri" w:hAnsi="Bookman Old Style"/>
          <w:sz w:val="22"/>
          <w:szCs w:val="22"/>
          <w:lang w:eastAsia="en-US"/>
        </w:rPr>
        <w:t>L</w:t>
      </w:r>
      <w:r w:rsidR="0029496F" w:rsidRPr="0068674A">
        <w:rPr>
          <w:rFonts w:ascii="Bookman Old Style" w:eastAsia="Calibri" w:hAnsi="Bookman Old Style"/>
          <w:sz w:val="22"/>
          <w:szCs w:val="22"/>
          <w:lang w:eastAsia="en-US"/>
        </w:rPr>
        <w:t>a partie restante (</w:t>
      </w:r>
      <w:r w:rsidRPr="0068674A">
        <w:rPr>
          <w:rFonts w:ascii="Bookman Old Style" w:eastAsia="Calibri" w:hAnsi="Bookman Old Style"/>
          <w:sz w:val="22"/>
          <w:szCs w:val="22"/>
          <w:lang w:eastAsia="en-US"/>
        </w:rPr>
        <w:t xml:space="preserve">dont </w:t>
      </w:r>
      <w:r w:rsidR="0029496F" w:rsidRPr="0068674A">
        <w:rPr>
          <w:rFonts w:ascii="Bookman Old Style" w:eastAsia="Calibri" w:hAnsi="Bookman Old Style"/>
          <w:sz w:val="22"/>
          <w:szCs w:val="22"/>
          <w:lang w:eastAsia="en-US"/>
        </w:rPr>
        <w:t xml:space="preserve">complément éventuelle sur la prime </w:t>
      </w:r>
      <w:r w:rsidR="00F77F02" w:rsidRPr="0068674A">
        <w:rPr>
          <w:rFonts w:ascii="Bookman Old Style" w:eastAsia="Calibri" w:hAnsi="Bookman Old Style"/>
          <w:sz w:val="22"/>
          <w:szCs w:val="22"/>
          <w:lang w:eastAsia="en-US"/>
        </w:rPr>
        <w:t>d’</w:t>
      </w:r>
      <w:r w:rsidR="00F77F02">
        <w:rPr>
          <w:rFonts w:ascii="Bookman Old Style" w:eastAsia="Calibri" w:hAnsi="Bookman Old Style"/>
          <w:sz w:val="22"/>
          <w:szCs w:val="22"/>
          <w:lang w:eastAsia="en-US"/>
        </w:rPr>
        <w:t>e</w:t>
      </w:r>
      <w:r w:rsidR="00F77F02" w:rsidRPr="0068674A">
        <w:rPr>
          <w:rFonts w:ascii="Bookman Old Style" w:eastAsia="Calibri" w:hAnsi="Bookman Old Style"/>
          <w:sz w:val="22"/>
          <w:szCs w:val="22"/>
          <w:lang w:eastAsia="en-US"/>
        </w:rPr>
        <w:t xml:space="preserve">xercice </w:t>
      </w:r>
      <w:r w:rsidR="009E666A" w:rsidRPr="0068674A">
        <w:rPr>
          <w:rFonts w:ascii="Bookman Old Style" w:eastAsia="Calibri" w:hAnsi="Bookman Old Style"/>
          <w:sz w:val="22"/>
          <w:szCs w:val="22"/>
          <w:lang w:eastAsia="en-US"/>
        </w:rPr>
        <w:t xml:space="preserve">territorial) </w:t>
      </w:r>
      <w:r w:rsidR="00F77F02">
        <w:rPr>
          <w:rFonts w:ascii="Bookman Old Style" w:eastAsia="Calibri" w:hAnsi="Bookman Old Style"/>
          <w:sz w:val="22"/>
          <w:szCs w:val="22"/>
          <w:lang w:eastAsia="en-US"/>
        </w:rPr>
        <w:t>est</w:t>
      </w:r>
      <w:r w:rsidR="00F77F02" w:rsidRPr="0068674A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 w:rsidR="009E666A" w:rsidRPr="0068674A">
        <w:rPr>
          <w:rFonts w:ascii="Bookman Old Style" w:eastAsia="Calibri" w:hAnsi="Bookman Old Style"/>
          <w:sz w:val="22"/>
          <w:szCs w:val="22"/>
          <w:lang w:eastAsia="en-US"/>
        </w:rPr>
        <w:t>prise en charge par les établissements de santé partenaire</w:t>
      </w:r>
      <w:r w:rsidR="00F77F02">
        <w:rPr>
          <w:rFonts w:ascii="Bookman Old Style" w:eastAsia="Calibri" w:hAnsi="Bookman Old Style"/>
          <w:sz w:val="22"/>
          <w:szCs w:val="22"/>
          <w:lang w:eastAsia="en-US"/>
        </w:rPr>
        <w:t>s</w:t>
      </w:r>
      <w:r w:rsidR="009E666A" w:rsidRPr="0068674A">
        <w:rPr>
          <w:rFonts w:ascii="Bookman Old Style" w:eastAsia="Calibri" w:hAnsi="Bookman Old Style"/>
          <w:sz w:val="22"/>
          <w:szCs w:val="22"/>
          <w:lang w:eastAsia="en-US"/>
        </w:rPr>
        <w:t xml:space="preserve"> au prorata de la répartition du temps de l’ASTP entre les établissements.</w:t>
      </w:r>
    </w:p>
    <w:p w:rsidR="001F3115" w:rsidRDefault="00CB7C33" w:rsidP="005A47AA">
      <w:pPr>
        <w:spacing w:after="200" w:line="276" w:lineRule="auto"/>
        <w:jc w:val="both"/>
        <w:rPr>
          <w:rFonts w:ascii="Bookman Old Style" w:eastAsia="Calibri" w:hAnsi="Bookman Old Style"/>
          <w:i/>
          <w:color w:val="00B050"/>
          <w:sz w:val="22"/>
          <w:szCs w:val="22"/>
          <w:lang w:eastAsia="en-US"/>
        </w:rPr>
      </w:pPr>
      <w:r w:rsidRPr="0068674A">
        <w:rPr>
          <w:rFonts w:ascii="Bookman Old Style" w:eastAsia="Calibri" w:hAnsi="Bookman Old Style"/>
          <w:i/>
          <w:color w:val="00B050"/>
          <w:sz w:val="22"/>
          <w:szCs w:val="22"/>
          <w:lang w:eastAsia="en-US"/>
        </w:rPr>
        <w:t>NB : la structure ambulatoire ne participe pas à la prise en charge de la rémunération (</w:t>
      </w:r>
      <w:proofErr w:type="spellStart"/>
      <w:r w:rsidRPr="0068674A">
        <w:rPr>
          <w:rFonts w:ascii="Bookman Old Style" w:eastAsia="Calibri" w:hAnsi="Bookman Old Style"/>
          <w:i/>
          <w:color w:val="00B050"/>
          <w:sz w:val="22"/>
          <w:szCs w:val="22"/>
          <w:lang w:eastAsia="en-US"/>
        </w:rPr>
        <w:t>cf</w:t>
      </w:r>
      <w:proofErr w:type="spellEnd"/>
      <w:r w:rsidRPr="0068674A">
        <w:rPr>
          <w:rFonts w:ascii="Bookman Old Style" w:eastAsia="Calibri" w:hAnsi="Bookman Old Style"/>
          <w:i/>
          <w:color w:val="00B050"/>
          <w:sz w:val="22"/>
          <w:szCs w:val="22"/>
          <w:lang w:eastAsia="en-US"/>
        </w:rPr>
        <w:t xml:space="preserve"> paragraphe 2 </w:t>
      </w:r>
      <w:r w:rsidR="005A47AA" w:rsidRPr="0068674A">
        <w:rPr>
          <w:rFonts w:ascii="Bookman Old Style" w:eastAsia="Calibri" w:hAnsi="Bookman Old Style"/>
          <w:i/>
          <w:color w:val="00B050"/>
          <w:sz w:val="22"/>
          <w:szCs w:val="22"/>
          <w:lang w:eastAsia="en-US"/>
        </w:rPr>
        <w:t xml:space="preserve">et le point </w:t>
      </w:r>
      <w:r w:rsidRPr="0068674A">
        <w:rPr>
          <w:rFonts w:ascii="Bookman Old Style" w:eastAsia="Calibri" w:hAnsi="Bookman Old Style"/>
          <w:i/>
          <w:color w:val="00B050"/>
          <w:sz w:val="22"/>
          <w:szCs w:val="22"/>
          <w:lang w:eastAsia="en-US"/>
        </w:rPr>
        <w:t xml:space="preserve">sur la consultation avancée) </w:t>
      </w:r>
    </w:p>
    <w:p w:rsidR="0068674A" w:rsidRPr="0068674A" w:rsidRDefault="0068674A" w:rsidP="005A47AA">
      <w:pPr>
        <w:spacing w:after="200" w:line="276" w:lineRule="auto"/>
        <w:jc w:val="both"/>
        <w:rPr>
          <w:rFonts w:ascii="Bookman Old Style" w:eastAsia="Calibri" w:hAnsi="Bookman Old Style"/>
          <w:i/>
          <w:color w:val="00B050"/>
          <w:sz w:val="22"/>
          <w:szCs w:val="22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5"/>
        <w:gridCol w:w="2869"/>
        <w:gridCol w:w="3026"/>
      </w:tblGrid>
      <w:tr w:rsidR="001F3115" w:rsidRPr="005A47AA" w:rsidTr="00713803">
        <w:tc>
          <w:tcPr>
            <w:tcW w:w="3165" w:type="dxa"/>
          </w:tcPr>
          <w:p w:rsidR="001F3115" w:rsidRPr="005A47AA" w:rsidRDefault="001F3115" w:rsidP="004806D9">
            <w:pPr>
              <w:spacing w:after="200" w:line="276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</w:p>
        </w:tc>
        <w:tc>
          <w:tcPr>
            <w:tcW w:w="2869" w:type="dxa"/>
          </w:tcPr>
          <w:p w:rsidR="001F3115" w:rsidRPr="005A47AA" w:rsidRDefault="001F3115" w:rsidP="004806D9">
            <w:pPr>
              <w:spacing w:after="200" w:line="276" w:lineRule="auto"/>
              <w:jc w:val="both"/>
              <w:rPr>
                <w:rFonts w:ascii="Bookman Old Style" w:eastAsia="Calibri" w:hAnsi="Bookman Old Style"/>
                <w:b/>
                <w:sz w:val="22"/>
                <w:szCs w:val="22"/>
                <w:lang w:eastAsia="en-US"/>
              </w:rPr>
            </w:pPr>
            <w:r w:rsidRPr="005A47AA">
              <w:rPr>
                <w:rFonts w:ascii="Bookman Old Style" w:eastAsia="Calibri" w:hAnsi="Bookman Old Style"/>
                <w:b/>
                <w:color w:val="76923C" w:themeColor="accent3" w:themeShade="BF"/>
                <w:sz w:val="22"/>
                <w:szCs w:val="22"/>
                <w:lang w:eastAsia="en-US"/>
              </w:rPr>
              <w:t>ASTP ville/hôpital</w:t>
            </w:r>
            <w:r w:rsidR="005E6F02">
              <w:rPr>
                <w:rFonts w:ascii="Bookman Old Style" w:eastAsia="Calibri" w:hAnsi="Bookman Old Style"/>
                <w:b/>
                <w:color w:val="76923C" w:themeColor="accent3" w:themeShade="BF"/>
                <w:sz w:val="22"/>
                <w:szCs w:val="22"/>
                <w:lang w:eastAsia="en-US"/>
              </w:rPr>
              <w:t xml:space="preserve"> à 90% *</w:t>
            </w:r>
          </w:p>
        </w:tc>
        <w:tc>
          <w:tcPr>
            <w:tcW w:w="3026" w:type="dxa"/>
          </w:tcPr>
          <w:p w:rsidR="001F3115" w:rsidRPr="005A47AA" w:rsidRDefault="001F3115" w:rsidP="004806D9">
            <w:pPr>
              <w:spacing w:after="200" w:line="276" w:lineRule="auto"/>
              <w:rPr>
                <w:rFonts w:ascii="Bookman Old Style" w:eastAsia="Calibri" w:hAnsi="Bookman Old Style"/>
                <w:b/>
                <w:sz w:val="22"/>
                <w:szCs w:val="22"/>
                <w:lang w:eastAsia="en-US"/>
              </w:rPr>
            </w:pPr>
            <w:r w:rsidRPr="005A47AA">
              <w:rPr>
                <w:rFonts w:ascii="Bookman Old Style" w:eastAsia="Calibri" w:hAnsi="Bookman Old Style"/>
                <w:b/>
                <w:color w:val="17365D" w:themeColor="text2" w:themeShade="BF"/>
                <w:sz w:val="22"/>
                <w:szCs w:val="22"/>
                <w:lang w:eastAsia="en-US"/>
              </w:rPr>
              <w:t>ASTP hôpital/hôpital</w:t>
            </w:r>
            <w:r w:rsidR="005E6F02">
              <w:rPr>
                <w:rFonts w:ascii="Bookman Old Style" w:eastAsia="Calibri" w:hAnsi="Bookman Old Style"/>
                <w:b/>
                <w:color w:val="17365D" w:themeColor="text2" w:themeShade="BF"/>
                <w:sz w:val="22"/>
                <w:szCs w:val="22"/>
                <w:lang w:eastAsia="en-US"/>
              </w:rPr>
              <w:t xml:space="preserve"> à 80%*</w:t>
            </w:r>
          </w:p>
        </w:tc>
      </w:tr>
      <w:tr w:rsidR="001F3115" w:rsidRPr="005A47AA" w:rsidTr="00713803">
        <w:tc>
          <w:tcPr>
            <w:tcW w:w="3165" w:type="dxa"/>
          </w:tcPr>
          <w:p w:rsidR="001F3115" w:rsidRPr="005A47AA" w:rsidRDefault="001F3115" w:rsidP="004806D9">
            <w:pPr>
              <w:spacing w:after="200" w:line="276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Emoluments d’un poste assistant spécialiste de 1</w:t>
            </w:r>
            <w:r w:rsidRPr="005A47AA">
              <w:rPr>
                <w:rFonts w:ascii="Bookman Old Style" w:eastAsia="Calibri" w:hAnsi="Bookman Old Style"/>
                <w:sz w:val="22"/>
                <w:szCs w:val="22"/>
                <w:vertAlign w:val="superscript"/>
                <w:lang w:eastAsia="en-US"/>
              </w:rPr>
              <w:t>ère</w:t>
            </w: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 ou 2eme année</w:t>
            </w:r>
            <w:r w:rsidR="0008369F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 (</w:t>
            </w:r>
            <w:r w:rsidR="0008369F" w:rsidRPr="0008369F">
              <w:rPr>
                <w:rFonts w:ascii="Bookman Old Style" w:eastAsia="Calibri" w:hAnsi="Bookman Old Style"/>
                <w:sz w:val="16"/>
                <w:szCs w:val="16"/>
                <w:lang w:eastAsia="en-US"/>
              </w:rPr>
              <w:t>arrêté du 8 juillet 2022 relatif aux émoluments, rémunérations ou indemnités des personnels médicaux)</w:t>
            </w:r>
          </w:p>
        </w:tc>
        <w:tc>
          <w:tcPr>
            <w:tcW w:w="2869" w:type="dxa"/>
          </w:tcPr>
          <w:p w:rsidR="001F3115" w:rsidRPr="005A47AA" w:rsidRDefault="0008369F" w:rsidP="00575F12">
            <w:pPr>
              <w:spacing w:after="200" w:line="276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2803.59</w:t>
            </w:r>
            <w:r w:rsidR="00DA50BC"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 </w:t>
            </w:r>
            <w:r w:rsidR="001F3115"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€ </w:t>
            </w:r>
            <w:r w:rsidR="00575F12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(</w:t>
            </w:r>
            <w:r w:rsidR="001F3115"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mensuel</w:t>
            </w:r>
            <w:r w:rsidR="00575F12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s bruts)</w:t>
            </w:r>
          </w:p>
        </w:tc>
        <w:tc>
          <w:tcPr>
            <w:tcW w:w="3026" w:type="dxa"/>
          </w:tcPr>
          <w:p w:rsidR="001F3115" w:rsidRPr="005A47AA" w:rsidRDefault="0008369F" w:rsidP="004806D9">
            <w:pPr>
              <w:spacing w:after="200" w:line="276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2803.59</w:t>
            </w:r>
            <w:r w:rsidR="00DA50BC"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 </w:t>
            </w:r>
            <w:r w:rsidR="001F3115"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€ </w:t>
            </w:r>
            <w:r w:rsidR="00575F12"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€ </w:t>
            </w:r>
            <w:r w:rsidR="00575F12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(</w:t>
            </w:r>
            <w:r w:rsidR="00575F12"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mensuel</w:t>
            </w:r>
            <w:r w:rsidR="00575F12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s bruts)</w:t>
            </w:r>
          </w:p>
        </w:tc>
      </w:tr>
      <w:tr w:rsidR="001F3115" w:rsidRPr="005A47AA" w:rsidTr="00713803">
        <w:trPr>
          <w:trHeight w:val="1249"/>
        </w:trPr>
        <w:tc>
          <w:tcPr>
            <w:tcW w:w="3165" w:type="dxa"/>
          </w:tcPr>
          <w:p w:rsidR="001F3115" w:rsidRPr="005A47AA" w:rsidRDefault="001F3115" w:rsidP="004806D9">
            <w:pPr>
              <w:spacing w:after="200" w:line="276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La prime d’exercice territorial </w:t>
            </w:r>
          </w:p>
        </w:tc>
        <w:tc>
          <w:tcPr>
            <w:tcW w:w="2869" w:type="dxa"/>
          </w:tcPr>
          <w:p w:rsidR="001F3115" w:rsidRPr="005A47AA" w:rsidRDefault="001F3115" w:rsidP="004806D9">
            <w:pPr>
              <w:spacing w:after="200" w:line="276" w:lineRule="auto"/>
              <w:rPr>
                <w:rFonts w:ascii="Bookman Old Style" w:eastAsia="Calibri" w:hAnsi="Bookman Old Style"/>
                <w:color w:val="FF0000"/>
                <w:sz w:val="22"/>
                <w:szCs w:val="22"/>
                <w:lang w:eastAsia="en-US"/>
              </w:rPr>
            </w:pP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1 000</w:t>
            </w:r>
            <w:r w:rsidRPr="005A47AA">
              <w:rPr>
                <w:rFonts w:ascii="Bookman Old Style" w:eastAsia="Calibri" w:hAnsi="Bookman Old Style"/>
                <w:sz w:val="22"/>
                <w:szCs w:val="22"/>
                <w:vertAlign w:val="superscript"/>
                <w:lang w:eastAsia="en-US"/>
              </w:rPr>
              <w:t>e</w:t>
            </w: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 </w:t>
            </w:r>
            <w:r w:rsidR="00575F12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(</w:t>
            </w:r>
            <w:r w:rsidR="00575F12"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mensuel</w:t>
            </w:r>
            <w:r w:rsidR="00575F12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s bruts)</w:t>
            </w:r>
            <w:r w:rsidR="00575F12"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 </w:t>
            </w: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(</w:t>
            </w:r>
            <w:r w:rsidRPr="005A47AA">
              <w:rPr>
                <w:rFonts w:ascii="Bookman Old Style" w:eastAsia="Calibri" w:hAnsi="Bookman Old Style"/>
                <w:color w:val="00B050"/>
                <w:sz w:val="22"/>
                <w:szCs w:val="22"/>
                <w:lang w:eastAsia="en-US"/>
              </w:rPr>
              <w:t>lorsque 50% de l’exercice est effectué au sein de la structure ambulatoire sous forme de consultations avancées</w:t>
            </w: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)</w:t>
            </w:r>
            <w:r w:rsidR="00D50AFA" w:rsidRPr="005A47AA">
              <w:rPr>
                <w:rFonts w:ascii="Bookman Old Style" w:eastAsia="Calibri" w:hAnsi="Bookman Old Style"/>
                <w:color w:val="FF0000"/>
                <w:sz w:val="22"/>
                <w:szCs w:val="22"/>
                <w:lang w:eastAsia="en-US"/>
              </w:rPr>
              <w:t> </w:t>
            </w:r>
            <w:r w:rsidR="00AC5EA2" w:rsidRPr="005A47AA">
              <w:rPr>
                <w:rFonts w:ascii="Bookman Old Style" w:eastAsia="Calibri" w:hAnsi="Bookman Old Style"/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:rsidR="004125E2" w:rsidRPr="005A47AA" w:rsidRDefault="004125E2" w:rsidP="004125E2">
            <w:pPr>
              <w:spacing w:after="200" w:line="276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A47AA">
              <w:rPr>
                <w:rFonts w:ascii="Bookman Old Style" w:eastAsia="Calibri" w:hAnsi="Bookman Old Style"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26" w:type="dxa"/>
          </w:tcPr>
          <w:p w:rsidR="001F3115" w:rsidRPr="005A47AA" w:rsidRDefault="00575F12" w:rsidP="00575F12">
            <w:pPr>
              <w:spacing w:after="200" w:line="276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proofErr w:type="gramStart"/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participation</w:t>
            </w:r>
            <w:proofErr w:type="gramEnd"/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 à la prime d’exercice territorial </w:t>
            </w:r>
            <w: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à hauteur de </w:t>
            </w:r>
            <w:r w:rsidR="006E6229"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45O € </w:t>
            </w:r>
            <w: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(</w:t>
            </w: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mensuel</w:t>
            </w:r>
            <w: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s bruts)</w:t>
            </w: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 </w:t>
            </w:r>
            <w:r w:rsidR="001F3115"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.</w:t>
            </w:r>
            <w:r w:rsidR="001F3115" w:rsidRPr="005A47AA">
              <w:rPr>
                <w:rFonts w:ascii="Bookman Old Style" w:eastAsia="Calibri" w:hAnsi="Bookman Old Style"/>
                <w:sz w:val="22"/>
                <w:szCs w:val="22"/>
                <w:vertAlign w:val="superscript"/>
                <w:lang w:eastAsia="en-US"/>
              </w:rPr>
              <w:t xml:space="preserve"> </w:t>
            </w:r>
          </w:p>
        </w:tc>
      </w:tr>
      <w:tr w:rsidR="001F3115" w:rsidRPr="005A47AA" w:rsidTr="00713803">
        <w:tc>
          <w:tcPr>
            <w:tcW w:w="3165" w:type="dxa"/>
          </w:tcPr>
          <w:p w:rsidR="001F3115" w:rsidRPr="005A47AA" w:rsidRDefault="001F3115" w:rsidP="004806D9">
            <w:pPr>
              <w:spacing w:after="200" w:line="276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lastRenderedPageBreak/>
              <w:t>L’indemnité d’engagement de service public exclusif IESPE)</w:t>
            </w:r>
          </w:p>
        </w:tc>
        <w:tc>
          <w:tcPr>
            <w:tcW w:w="2869" w:type="dxa"/>
          </w:tcPr>
          <w:p w:rsidR="001F3115" w:rsidRPr="005A47AA" w:rsidRDefault="001865CF" w:rsidP="00B059D5">
            <w:pPr>
              <w:spacing w:after="200" w:line="276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1010</w:t>
            </w:r>
            <w:r w:rsidR="001F3115"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€ </w:t>
            </w:r>
            <w:r w:rsidR="00575F12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(</w:t>
            </w:r>
            <w:r w:rsidR="00575F12"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mensuel</w:t>
            </w:r>
            <w:r w:rsidR="00575F12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s bruts)</w:t>
            </w:r>
          </w:p>
        </w:tc>
        <w:tc>
          <w:tcPr>
            <w:tcW w:w="3026" w:type="dxa"/>
          </w:tcPr>
          <w:p w:rsidR="001F3115" w:rsidRPr="005A47AA" w:rsidRDefault="001865CF" w:rsidP="004806D9">
            <w:pPr>
              <w:spacing w:after="200" w:line="276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1010</w:t>
            </w:r>
            <w:r w:rsidR="00D05F98"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€ </w:t>
            </w:r>
            <w:r w:rsidR="00575F12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(</w:t>
            </w:r>
            <w:r w:rsidR="00575F12"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mensuel</w:t>
            </w:r>
            <w:r w:rsidR="00575F12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s bruts)</w:t>
            </w:r>
          </w:p>
        </w:tc>
      </w:tr>
      <w:tr w:rsidR="001F3115" w:rsidRPr="005A47AA" w:rsidTr="00713803">
        <w:trPr>
          <w:trHeight w:val="346"/>
        </w:trPr>
        <w:tc>
          <w:tcPr>
            <w:tcW w:w="3165" w:type="dxa"/>
          </w:tcPr>
          <w:p w:rsidR="001F3115" w:rsidRPr="005A47AA" w:rsidRDefault="001F3115" w:rsidP="004806D9">
            <w:pPr>
              <w:spacing w:after="200" w:line="276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Le taux de charges employeurs </w:t>
            </w:r>
          </w:p>
        </w:tc>
        <w:tc>
          <w:tcPr>
            <w:tcW w:w="2869" w:type="dxa"/>
          </w:tcPr>
          <w:p w:rsidR="001F3115" w:rsidRPr="005A47AA" w:rsidRDefault="001F3115" w:rsidP="00DA50BC">
            <w:pPr>
              <w:spacing w:after="200" w:line="276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44% </w:t>
            </w:r>
          </w:p>
        </w:tc>
        <w:tc>
          <w:tcPr>
            <w:tcW w:w="3026" w:type="dxa"/>
          </w:tcPr>
          <w:p w:rsidR="001F3115" w:rsidRPr="005A47AA" w:rsidRDefault="001F3115" w:rsidP="00DA50BC">
            <w:pPr>
              <w:spacing w:after="200" w:line="276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5A47A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44% </w:t>
            </w:r>
          </w:p>
        </w:tc>
      </w:tr>
    </w:tbl>
    <w:p w:rsidR="005D62EC" w:rsidRPr="005A47AA" w:rsidRDefault="005E6F02" w:rsidP="001F3115">
      <w:pPr>
        <w:spacing w:after="200" w:line="276" w:lineRule="auto"/>
        <w:rPr>
          <w:rFonts w:ascii="Bookman Old Style" w:eastAsia="Calibri" w:hAnsi="Bookman Old Style"/>
          <w:i/>
          <w:sz w:val="22"/>
          <w:szCs w:val="22"/>
          <w:lang w:eastAsia="en-US"/>
        </w:rPr>
      </w:pPr>
      <w:r>
        <w:rPr>
          <w:rFonts w:ascii="Bookman Old Style" w:eastAsia="Calibri" w:hAnsi="Bookman Old Style"/>
          <w:i/>
          <w:sz w:val="22"/>
          <w:szCs w:val="22"/>
          <w:lang w:eastAsia="en-US"/>
        </w:rPr>
        <w:t>*</w:t>
      </w:r>
      <w:r w:rsidR="001F3115" w:rsidRPr="005A47AA">
        <w:rPr>
          <w:rFonts w:ascii="Bookman Old Style" w:eastAsia="Calibri" w:hAnsi="Bookman Old Style"/>
          <w:i/>
          <w:sz w:val="22"/>
          <w:szCs w:val="22"/>
          <w:lang w:eastAsia="en-US"/>
        </w:rPr>
        <w:t>Pour rappel, financement uniquement de la rémunération, pas de matériel.</w:t>
      </w:r>
    </w:p>
    <w:p w:rsidR="002C531B" w:rsidRDefault="002C531B" w:rsidP="006E6229">
      <w:pP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:rsidR="001F3115" w:rsidRPr="005A47AA" w:rsidRDefault="0008369F" w:rsidP="006E6229">
      <w:pP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>En PACA, en 20</w:t>
      </w:r>
      <w:r w:rsidRPr="00D11F84">
        <w:rPr>
          <w:rFonts w:ascii="Bookman Old Style" w:eastAsia="Calibri" w:hAnsi="Bookman Old Style"/>
          <w:sz w:val="22"/>
          <w:szCs w:val="22"/>
          <w:highlight w:val="yellow"/>
          <w:lang w:eastAsia="en-US"/>
        </w:rPr>
        <w:t>24</w:t>
      </w:r>
      <w:r w:rsidR="00686C77">
        <w:rPr>
          <w:rFonts w:ascii="Bookman Old Style" w:eastAsia="Calibri" w:hAnsi="Bookman Old Style"/>
          <w:sz w:val="22"/>
          <w:szCs w:val="22"/>
          <w:highlight w:val="yellow"/>
          <w:lang w:eastAsia="en-US"/>
        </w:rPr>
        <w:t> </w:t>
      </w:r>
      <w:r w:rsidR="00686C77">
        <w:rPr>
          <w:rFonts w:ascii="Bookman Old Style" w:eastAsia="Calibri" w:hAnsi="Bookman Old Style"/>
          <w:sz w:val="22"/>
          <w:szCs w:val="22"/>
          <w:lang w:eastAsia="en-US"/>
        </w:rPr>
        <w:t>?</w:t>
      </w:r>
      <w:r w:rsidR="005D62EC" w:rsidRPr="005A47AA">
        <w:rPr>
          <w:rFonts w:ascii="Bookman Old Style" w:eastAsia="Calibri" w:hAnsi="Bookman Old Style"/>
          <w:sz w:val="22"/>
          <w:szCs w:val="22"/>
          <w:lang w:eastAsia="en-US"/>
        </w:rPr>
        <w:t xml:space="preserve">, les postes accordés </w:t>
      </w:r>
      <w:r w:rsidR="001F3115" w:rsidRPr="005A47AA">
        <w:rPr>
          <w:rFonts w:ascii="Bookman Old Style" w:eastAsia="Calibri" w:hAnsi="Bookman Old Style"/>
          <w:sz w:val="22"/>
          <w:szCs w:val="22"/>
          <w:lang w:eastAsia="en-US"/>
        </w:rPr>
        <w:t xml:space="preserve">par le </w:t>
      </w:r>
      <w:r w:rsidR="00640FB1" w:rsidRPr="005A47AA">
        <w:rPr>
          <w:rFonts w:ascii="Bookman Old Style" w:eastAsia="Calibri" w:hAnsi="Bookman Old Style"/>
          <w:sz w:val="22"/>
          <w:szCs w:val="22"/>
          <w:lang w:eastAsia="en-US"/>
        </w:rPr>
        <w:t xml:space="preserve">Ministère </w:t>
      </w:r>
      <w:r w:rsidR="005D62EC" w:rsidRPr="005A47AA">
        <w:rPr>
          <w:rFonts w:ascii="Bookman Old Style" w:eastAsia="Calibri" w:hAnsi="Bookman Old Style"/>
          <w:sz w:val="22"/>
          <w:szCs w:val="22"/>
          <w:lang w:eastAsia="en-US"/>
        </w:rPr>
        <w:t xml:space="preserve">s’élevaient à </w:t>
      </w:r>
      <w:r w:rsidR="001F3115" w:rsidRPr="005A47AA">
        <w:rPr>
          <w:rFonts w:ascii="Bookman Old Style" w:eastAsia="Calibri" w:hAnsi="Bookman Old Style"/>
          <w:sz w:val="22"/>
          <w:szCs w:val="22"/>
          <w:lang w:eastAsia="en-US"/>
        </w:rPr>
        <w:t>:</w:t>
      </w:r>
    </w:p>
    <w:p w:rsidR="001F3115" w:rsidRPr="003B72D4" w:rsidRDefault="001F3115" w:rsidP="001F3115">
      <w:pPr>
        <w:pStyle w:val="Paragraphedeliste"/>
        <w:numPr>
          <w:ilvl w:val="0"/>
          <w:numId w:val="17"/>
        </w:numPr>
        <w:spacing w:after="200" w:line="276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3B72D4">
        <w:rPr>
          <w:rFonts w:ascii="Bookman Old Style" w:eastAsia="Calibri" w:hAnsi="Bookman Old Style"/>
          <w:sz w:val="22"/>
          <w:szCs w:val="22"/>
          <w:lang w:eastAsia="en-US"/>
        </w:rPr>
        <w:t>12 postes ASTP entre établissements de santé</w:t>
      </w:r>
    </w:p>
    <w:p w:rsidR="001F3115" w:rsidRPr="003B72D4" w:rsidRDefault="006E6229" w:rsidP="001F3115">
      <w:pPr>
        <w:pStyle w:val="Paragraphedeliste"/>
        <w:numPr>
          <w:ilvl w:val="0"/>
          <w:numId w:val="17"/>
        </w:numPr>
        <w:spacing w:after="200" w:line="276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3B72D4">
        <w:rPr>
          <w:rFonts w:ascii="Bookman Old Style" w:eastAsia="Calibri" w:hAnsi="Bookman Old Style"/>
          <w:sz w:val="22"/>
          <w:szCs w:val="22"/>
          <w:lang w:eastAsia="en-US"/>
        </w:rPr>
        <w:t>4</w:t>
      </w:r>
      <w:r w:rsidR="001F3115" w:rsidRPr="003B72D4">
        <w:rPr>
          <w:rFonts w:ascii="Bookman Old Style" w:eastAsia="Calibri" w:hAnsi="Bookman Old Style"/>
          <w:sz w:val="22"/>
          <w:szCs w:val="22"/>
          <w:lang w:eastAsia="en-US"/>
        </w:rPr>
        <w:t xml:space="preserve"> postes ASTP </w:t>
      </w:r>
      <w:r w:rsidR="003B72D4">
        <w:rPr>
          <w:rFonts w:ascii="Bookman Old Style" w:eastAsia="Calibri" w:hAnsi="Bookman Old Style"/>
          <w:sz w:val="22"/>
          <w:szCs w:val="22"/>
          <w:lang w:eastAsia="en-US"/>
        </w:rPr>
        <w:t>ville/hôpital</w:t>
      </w:r>
      <w:r w:rsidR="001F3115" w:rsidRPr="003B72D4">
        <w:rPr>
          <w:rFonts w:ascii="Bookman Old Style" w:eastAsia="Calibri" w:hAnsi="Bookman Old Style"/>
          <w:sz w:val="22"/>
          <w:szCs w:val="22"/>
          <w:lang w:eastAsia="en-US"/>
        </w:rPr>
        <w:t>.</w:t>
      </w:r>
    </w:p>
    <w:p w:rsidR="005A47AA" w:rsidRPr="005A47AA" w:rsidRDefault="001F3115" w:rsidP="001F3115">
      <w:pPr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sz w:val="22"/>
          <w:szCs w:val="22"/>
          <w:lang w:eastAsia="en-US"/>
        </w:rPr>
        <w:t xml:space="preserve">L’ARS PACA </w:t>
      </w:r>
      <w:r w:rsidR="00A02A75" w:rsidRPr="005A47AA">
        <w:rPr>
          <w:rFonts w:ascii="Bookman Old Style" w:eastAsia="Calibri" w:hAnsi="Bookman Old Style"/>
          <w:sz w:val="22"/>
          <w:szCs w:val="22"/>
          <w:lang w:eastAsia="en-US"/>
        </w:rPr>
        <w:t>continue sa</w:t>
      </w:r>
      <w:r w:rsidRPr="005A47AA">
        <w:rPr>
          <w:rFonts w:ascii="Bookman Old Style" w:eastAsia="Calibri" w:hAnsi="Bookman Old Style"/>
          <w:sz w:val="22"/>
          <w:szCs w:val="22"/>
          <w:lang w:eastAsia="en-US"/>
        </w:rPr>
        <w:t xml:space="preserve"> politique volontariste de développement des ASTP et a mo</w:t>
      </w:r>
      <w:r w:rsidR="000E009D" w:rsidRPr="005A47AA">
        <w:rPr>
          <w:rFonts w:ascii="Bookman Old Style" w:eastAsia="Calibri" w:hAnsi="Bookman Old Style"/>
          <w:sz w:val="22"/>
          <w:szCs w:val="22"/>
          <w:lang w:eastAsia="en-US"/>
        </w:rPr>
        <w:t>bilisé</w:t>
      </w:r>
      <w:r w:rsidR="00E9009F" w:rsidRPr="005A47AA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 w:rsidR="0068674A">
        <w:rPr>
          <w:rFonts w:ascii="Bookman Old Style" w:eastAsia="Calibri" w:hAnsi="Bookman Old Style"/>
          <w:sz w:val="22"/>
          <w:szCs w:val="22"/>
          <w:lang w:eastAsia="en-US"/>
        </w:rPr>
        <w:t>de nouveau</w:t>
      </w:r>
      <w:r w:rsidR="00D50AFA" w:rsidRPr="005A47AA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 w:rsidR="008C4072" w:rsidRPr="005A47AA">
        <w:rPr>
          <w:rFonts w:ascii="Bookman Old Style" w:eastAsia="Calibri" w:hAnsi="Bookman Old Style"/>
          <w:sz w:val="22"/>
          <w:szCs w:val="22"/>
          <w:lang w:eastAsia="en-US"/>
        </w:rPr>
        <w:t xml:space="preserve">le </w:t>
      </w:r>
      <w:r w:rsidR="00D13EF3" w:rsidRPr="005A47AA">
        <w:rPr>
          <w:rFonts w:ascii="Bookman Old Style" w:eastAsia="Calibri" w:hAnsi="Bookman Old Style"/>
          <w:sz w:val="22"/>
          <w:szCs w:val="22"/>
          <w:lang w:eastAsia="en-US"/>
        </w:rPr>
        <w:t>fonds d’intervention régionale (</w:t>
      </w:r>
      <w:r w:rsidR="000E009D" w:rsidRPr="005A47AA">
        <w:rPr>
          <w:rFonts w:ascii="Bookman Old Style" w:eastAsia="Calibri" w:hAnsi="Bookman Old Style"/>
          <w:sz w:val="22"/>
          <w:szCs w:val="22"/>
          <w:lang w:eastAsia="en-US"/>
        </w:rPr>
        <w:t>FIR</w:t>
      </w:r>
      <w:r w:rsidR="00D13EF3" w:rsidRPr="005A47AA">
        <w:rPr>
          <w:rFonts w:ascii="Bookman Old Style" w:eastAsia="Calibri" w:hAnsi="Bookman Old Style"/>
          <w:sz w:val="22"/>
          <w:szCs w:val="22"/>
          <w:lang w:eastAsia="en-US"/>
        </w:rPr>
        <w:t>)</w:t>
      </w:r>
      <w:r w:rsidR="00D50AFA" w:rsidRPr="005A47AA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 w:rsidRPr="005A47AA">
        <w:rPr>
          <w:rFonts w:ascii="Bookman Old Style" w:eastAsia="Calibri" w:hAnsi="Bookman Old Style"/>
          <w:sz w:val="22"/>
          <w:szCs w:val="22"/>
          <w:lang w:eastAsia="en-US"/>
        </w:rPr>
        <w:t xml:space="preserve">pour financer </w:t>
      </w:r>
      <w:r w:rsidR="006E6229" w:rsidRPr="005A47AA">
        <w:rPr>
          <w:rFonts w:ascii="Bookman Old Style" w:eastAsia="Calibri" w:hAnsi="Bookman Old Style"/>
          <w:sz w:val="22"/>
          <w:szCs w:val="22"/>
          <w:lang w:eastAsia="en-US"/>
        </w:rPr>
        <w:t>des postes</w:t>
      </w:r>
      <w:r w:rsidRPr="005A47AA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 w:rsidR="008C4072" w:rsidRPr="005A47AA">
        <w:rPr>
          <w:rFonts w:ascii="Bookman Old Style" w:eastAsia="Calibri" w:hAnsi="Bookman Old Style"/>
          <w:sz w:val="22"/>
          <w:szCs w:val="22"/>
          <w:lang w:eastAsia="en-US"/>
        </w:rPr>
        <w:t>supplémentaires</w:t>
      </w:r>
      <w:r w:rsidR="0008369F">
        <w:rPr>
          <w:rFonts w:ascii="Bookman Old Style" w:eastAsia="Calibri" w:hAnsi="Bookman Old Style"/>
          <w:sz w:val="22"/>
          <w:szCs w:val="22"/>
          <w:lang w:eastAsia="en-US"/>
        </w:rPr>
        <w:t xml:space="preserve"> (45</w:t>
      </w:r>
      <w:r w:rsidR="00E9009F" w:rsidRPr="005A47AA">
        <w:rPr>
          <w:rFonts w:ascii="Bookman Old Style" w:eastAsia="Calibri" w:hAnsi="Bookman Old Style"/>
          <w:sz w:val="22"/>
          <w:szCs w:val="22"/>
          <w:lang w:eastAsia="en-US"/>
        </w:rPr>
        <w:t xml:space="preserve"> au total</w:t>
      </w:r>
      <w:r w:rsidR="0008369F">
        <w:rPr>
          <w:rFonts w:ascii="Bookman Old Style" w:eastAsia="Calibri" w:hAnsi="Bookman Old Style"/>
          <w:sz w:val="22"/>
          <w:szCs w:val="22"/>
          <w:lang w:eastAsia="en-US"/>
        </w:rPr>
        <w:t xml:space="preserve"> pour </w:t>
      </w:r>
      <w:r w:rsidR="00575F12">
        <w:rPr>
          <w:rFonts w:ascii="Bookman Old Style" w:eastAsia="Calibri" w:hAnsi="Bookman Old Style"/>
          <w:sz w:val="22"/>
          <w:szCs w:val="22"/>
          <w:lang w:eastAsia="en-US"/>
        </w:rPr>
        <w:t xml:space="preserve">la campagne </w:t>
      </w:r>
      <w:r w:rsidR="0008369F">
        <w:rPr>
          <w:rFonts w:ascii="Bookman Old Style" w:eastAsia="Calibri" w:hAnsi="Bookman Old Style"/>
          <w:sz w:val="22"/>
          <w:szCs w:val="22"/>
          <w:lang w:eastAsia="en-US"/>
        </w:rPr>
        <w:t>2023)</w:t>
      </w:r>
      <w:r w:rsidRPr="005A47AA">
        <w:rPr>
          <w:rFonts w:ascii="Bookman Old Style" w:eastAsia="Calibri" w:hAnsi="Bookman Old Style"/>
          <w:sz w:val="22"/>
          <w:szCs w:val="22"/>
          <w:lang w:eastAsia="en-US"/>
        </w:rPr>
        <w:t>.</w:t>
      </w:r>
    </w:p>
    <w:p w:rsidR="004E46A2" w:rsidRPr="005A47AA" w:rsidRDefault="004125E2" w:rsidP="00C4375E">
      <w:pPr>
        <w:spacing w:after="200" w:line="276" w:lineRule="auto"/>
        <w:rPr>
          <w:rFonts w:ascii="Bookman Old Style" w:eastAsia="Calibri" w:hAnsi="Bookman Old Style"/>
          <w:b/>
          <w:color w:val="00B050"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/>
          <w:color w:val="00B050"/>
          <w:sz w:val="22"/>
          <w:szCs w:val="22"/>
          <w:lang w:eastAsia="en-US"/>
        </w:rPr>
        <w:t xml:space="preserve">ATTENTION : l’ARS ne </w:t>
      </w:r>
      <w:r w:rsidR="005E6F02">
        <w:rPr>
          <w:rFonts w:ascii="Bookman Old Style" w:eastAsia="Calibri" w:hAnsi="Bookman Old Style"/>
          <w:b/>
          <w:color w:val="00B050"/>
          <w:sz w:val="22"/>
          <w:szCs w:val="22"/>
          <w:lang w:eastAsia="en-US"/>
        </w:rPr>
        <w:t>déléguera les crédits</w:t>
      </w:r>
      <w:r w:rsidRPr="005A47AA">
        <w:rPr>
          <w:rFonts w:ascii="Bookman Old Style" w:eastAsia="Calibri" w:hAnsi="Bookman Old Style"/>
          <w:b/>
          <w:color w:val="00B050"/>
          <w:sz w:val="22"/>
          <w:szCs w:val="22"/>
          <w:lang w:eastAsia="en-US"/>
        </w:rPr>
        <w:t xml:space="preserve"> qu’à réception de la convention de partage signée par les structures partenaires et l’ASTP</w:t>
      </w:r>
      <w:r w:rsidR="00D00807">
        <w:rPr>
          <w:rFonts w:ascii="Bookman Old Style" w:eastAsia="Calibri" w:hAnsi="Bookman Old Style"/>
          <w:b/>
          <w:color w:val="00B050"/>
          <w:sz w:val="22"/>
          <w:szCs w:val="22"/>
          <w:lang w:eastAsia="en-US"/>
        </w:rPr>
        <w:t>.</w:t>
      </w:r>
    </w:p>
    <w:p w:rsidR="00E9009F" w:rsidRPr="005A47AA" w:rsidRDefault="00E9009F" w:rsidP="00C4375E">
      <w:pPr>
        <w:spacing w:after="200" w:line="276" w:lineRule="auto"/>
        <w:rPr>
          <w:rFonts w:ascii="Bookman Old Style" w:eastAsia="Calibri" w:hAnsi="Bookman Old Style"/>
          <w:b/>
          <w:color w:val="00B050"/>
          <w:sz w:val="22"/>
          <w:szCs w:val="22"/>
          <w:lang w:eastAsia="en-US"/>
        </w:rPr>
      </w:pPr>
    </w:p>
    <w:p w:rsidR="005A72CD" w:rsidRPr="00B239B7" w:rsidRDefault="002C1BC3" w:rsidP="00B239B7">
      <w:pPr>
        <w:pStyle w:val="Paragraphedeliste"/>
        <w:numPr>
          <w:ilvl w:val="0"/>
          <w:numId w:val="13"/>
        </w:numPr>
        <w:spacing w:after="200" w:line="276" w:lineRule="auto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La stratégie</w:t>
      </w:r>
      <w:r w:rsidR="00727E0A" w:rsidRPr="005A47A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 </w:t>
      </w:r>
      <w:r w:rsidR="00BE5F4A" w:rsidRPr="005A47A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 xml:space="preserve">relative aux ASTP </w:t>
      </w:r>
      <w:r w:rsidR="00727E0A" w:rsidRPr="005A47A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20</w:t>
      </w:r>
      <w:r w:rsidR="005A72CD" w:rsidRPr="005A47A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2</w:t>
      </w:r>
      <w:r w:rsidR="0008369F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4 - 2026</w:t>
      </w:r>
    </w:p>
    <w:p w:rsidR="005A72CD" w:rsidRPr="005A47AA" w:rsidRDefault="000C7E58" w:rsidP="000C7E58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Ce </w:t>
      </w:r>
      <w:r w:rsidR="000945D3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dispositif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est en cohérence avec les </w:t>
      </w:r>
      <w:r w:rsidR="001A4D07" w:rsidRPr="005A47AA">
        <w:rPr>
          <w:rFonts w:ascii="Bookman Old Style" w:eastAsia="Calibri" w:hAnsi="Bookman Old Style"/>
          <w:bCs/>
          <w:color w:val="000000" w:themeColor="text1"/>
          <w:sz w:val="22"/>
          <w:szCs w:val="22"/>
          <w:lang w:eastAsia="en-US"/>
        </w:rPr>
        <w:t xml:space="preserve">orientations du PRS </w:t>
      </w:r>
      <w:r w:rsidRPr="005A47AA">
        <w:rPr>
          <w:rFonts w:ascii="Bookman Old Style" w:eastAsia="Calibri" w:hAnsi="Bookman Old Style"/>
          <w:bCs/>
          <w:color w:val="000000" w:themeColor="text1"/>
          <w:sz w:val="22"/>
          <w:szCs w:val="22"/>
          <w:lang w:eastAsia="en-US"/>
        </w:rPr>
        <w:t>et l’organisation de l’</w:t>
      </w:r>
      <w:r w:rsidR="00EF4285" w:rsidRPr="005A47AA">
        <w:rPr>
          <w:rFonts w:ascii="Bookman Old Style" w:eastAsia="Calibri" w:hAnsi="Bookman Old Style"/>
          <w:bCs/>
          <w:color w:val="000000" w:themeColor="text1"/>
          <w:sz w:val="22"/>
          <w:szCs w:val="22"/>
          <w:lang w:eastAsia="en-US"/>
        </w:rPr>
        <w:t>offre de soin</w:t>
      </w:r>
      <w:r w:rsidRPr="005A47AA">
        <w:rPr>
          <w:rFonts w:ascii="Bookman Old Style" w:eastAsia="Calibri" w:hAnsi="Bookman Old Style"/>
          <w:bCs/>
          <w:color w:val="000000" w:themeColor="text1"/>
          <w:sz w:val="22"/>
          <w:szCs w:val="22"/>
          <w:lang w:eastAsia="en-US"/>
        </w:rPr>
        <w:t xml:space="preserve"> à l’échelle régionale, </w:t>
      </w:r>
      <w:r w:rsidR="00B059D5" w:rsidRPr="005A47AA">
        <w:rPr>
          <w:rFonts w:ascii="Bookman Old Style" w:eastAsia="Calibri" w:hAnsi="Bookman Old Style"/>
          <w:bCs/>
          <w:color w:val="000000" w:themeColor="text1"/>
          <w:sz w:val="22"/>
          <w:szCs w:val="22"/>
          <w:lang w:eastAsia="en-US"/>
        </w:rPr>
        <w:t xml:space="preserve">ainsi qu’avec les 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initiatives impliquant des structures situées dans des </w:t>
      </w:r>
      <w:r w:rsidR="001E06A5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zones déficitaires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dans les spécialités médicales concernées.</w:t>
      </w:r>
    </w:p>
    <w:p w:rsidR="001A4D07" w:rsidRPr="005A47AA" w:rsidRDefault="001A4D07" w:rsidP="000C7E58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Les postes d’ASTP permettent de renforcer l’attractivité de l’h</w:t>
      </w:r>
      <w:r w:rsidR="00E9009F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ôpital</w:t>
      </w:r>
      <w:r w:rsidR="005E6F02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public</w:t>
      </w:r>
      <w:r w:rsidR="00E9009F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,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peuvent assurer un équilibre territorial et garantir la sécurisation de</w:t>
      </w:r>
      <w:r w:rsidR="0068674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certaines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filières prioritaires au sein des GHT : urgences, maternité, psychiatrie et pédiatrie.</w:t>
      </w:r>
    </w:p>
    <w:p w:rsidR="00E9009F" w:rsidRPr="005A47AA" w:rsidRDefault="00E9009F" w:rsidP="000C7E58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C’est pour cela que nous demandons aux GHT de construire une politique commune </w:t>
      </w:r>
      <w:r w:rsidR="00D00807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et de se concerter en amont pour la création de </w:t>
      </w:r>
      <w:r w:rsidR="005A47AA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ces postes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.</w:t>
      </w:r>
      <w:r w:rsidR="005A47AA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="005E6F02">
        <w:rPr>
          <w:rFonts w:ascii="Bookman Old Style" w:eastAsia="Calibri" w:hAnsi="Bookman Old Style"/>
          <w:bCs/>
          <w:sz w:val="22"/>
          <w:szCs w:val="22"/>
          <w:lang w:eastAsia="en-US"/>
        </w:rPr>
        <w:t>Par ailleurs d</w:t>
      </w:r>
      <w:r w:rsidR="005A47AA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es postes inter GHT sont également possible</w:t>
      </w:r>
      <w:r w:rsidR="0068674A">
        <w:rPr>
          <w:rFonts w:ascii="Bookman Old Style" w:eastAsia="Calibri" w:hAnsi="Bookman Old Style"/>
          <w:bCs/>
          <w:sz w:val="22"/>
          <w:szCs w:val="22"/>
          <w:lang w:eastAsia="en-US"/>
        </w:rPr>
        <w:t>s</w:t>
      </w:r>
      <w:r w:rsidR="005A47AA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.</w:t>
      </w:r>
    </w:p>
    <w:p w:rsidR="00E163F2" w:rsidRPr="005A47AA" w:rsidRDefault="00176C33" w:rsidP="000C7E58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 xml:space="preserve">Les spécialités en tension </w:t>
      </w:r>
    </w:p>
    <w:p w:rsidR="00283F07" w:rsidRPr="005A47AA" w:rsidRDefault="0068674A" w:rsidP="00283F07">
      <w:pPr>
        <w:spacing w:after="200" w:line="276" w:lineRule="auto"/>
        <w:jc w:val="both"/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L</w:t>
      </w:r>
      <w:r w:rsidR="00283F07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’agence régionale de santé </w:t>
      </w:r>
      <w:r w:rsidR="00866A84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portera une attention particulière sur</w:t>
      </w:r>
      <w:r w:rsidR="00283F07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les spécialités en tension </w:t>
      </w:r>
      <w:r w:rsidR="00FA4BB3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que sont</w:t>
      </w:r>
      <w:r w:rsidR="00283F07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 : </w:t>
      </w:r>
      <w:r w:rsidR="00575F12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l’anesthésie-</w:t>
      </w:r>
      <w:r w:rsidR="00283F07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réanimation,</w:t>
      </w:r>
      <w:r w:rsidR="00866A84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 xml:space="preserve"> </w:t>
      </w:r>
      <w:r w:rsidR="00E163F2" w:rsidRPr="00575F12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 xml:space="preserve">la </w:t>
      </w:r>
      <w:r w:rsidR="00283F07" w:rsidRPr="00575F12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gériatrie,</w:t>
      </w:r>
      <w:r w:rsidR="00283F07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 xml:space="preserve"> la psychiatrie</w:t>
      </w:r>
      <w:r w:rsidR="00866A84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,</w:t>
      </w:r>
      <w:r w:rsidR="00D13EF3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 xml:space="preserve"> </w:t>
      </w:r>
      <w:r w:rsidR="00283F07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la gynécologie</w:t>
      </w:r>
      <w:r w:rsidR="00866A84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-</w:t>
      </w:r>
      <w:r w:rsidR="00283F07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obstétrique</w:t>
      </w:r>
      <w:r w:rsidR="005A72CD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 xml:space="preserve">, la </w:t>
      </w:r>
      <w:r w:rsidR="001865CF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pédiatrie</w:t>
      </w:r>
      <w:r w:rsidR="00493B22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, la radiologie</w:t>
      </w:r>
      <w:r w:rsidR="00575F12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, l’oncologie</w:t>
      </w:r>
      <w:r w:rsidR="00866A84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 xml:space="preserve"> et la médecine</w:t>
      </w:r>
      <w:r w:rsidR="00283F07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 xml:space="preserve"> </w:t>
      </w:r>
      <w:r w:rsidR="00866A84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d’</w:t>
      </w:r>
      <w:r w:rsidR="00283F07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ur</w:t>
      </w:r>
      <w:r w:rsidR="00866A84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gence</w:t>
      </w:r>
      <w:r w:rsidR="00283F07" w:rsidRPr="005A47AA">
        <w:rPr>
          <w:rFonts w:ascii="Bookman Old Style" w:eastAsia="Calibri" w:hAnsi="Bookman Old Style"/>
          <w:b/>
          <w:bCs/>
          <w:color w:val="FF0000"/>
          <w:sz w:val="22"/>
          <w:szCs w:val="22"/>
          <w:lang w:eastAsia="en-US"/>
        </w:rPr>
        <w:t>.</w:t>
      </w:r>
    </w:p>
    <w:p w:rsidR="00FA4BB3" w:rsidRPr="005A47AA" w:rsidRDefault="00FA4BB3" w:rsidP="00283F07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Les établissements qui présenteront des candidatures d</w:t>
      </w:r>
      <w:r w:rsidR="006E6229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evront 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s’engager à proposer </w:t>
      </w:r>
      <w:r w:rsidR="00112A9F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un poste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="006E6229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pérenne 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aux ASTP</w:t>
      </w:r>
      <w:r w:rsidR="006E6229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(compléter la lettre d’engagement)</w:t>
      </w:r>
      <w:r w:rsidR="005D62EC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si les 2 années ont été satisfaisantes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. </w:t>
      </w:r>
    </w:p>
    <w:p w:rsidR="00BE5F4A" w:rsidRDefault="00176C33" w:rsidP="00BE5F4A">
      <w:pPr>
        <w:spacing w:after="200" w:line="276" w:lineRule="auto"/>
        <w:jc w:val="both"/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</w:pPr>
      <w:r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>Les postes</w:t>
      </w:r>
      <w:r w:rsidR="00453E34" w:rsidRPr="005A47AA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 xml:space="preserve"> </w:t>
      </w:r>
      <w:r w:rsidR="001B0F85" w:rsidRPr="005A47AA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>ville/</w:t>
      </w:r>
      <w:r w:rsidR="00453E34" w:rsidRPr="005A47AA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>hô</w:t>
      </w:r>
      <w:r w:rsidR="00BE5F4A" w:rsidRPr="005A47AA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 xml:space="preserve">pital : </w:t>
      </w:r>
    </w:p>
    <w:p w:rsidR="003B72D4" w:rsidRDefault="003B72D4" w:rsidP="00BE5F4A">
      <w:pPr>
        <w:spacing w:after="200" w:line="276" w:lineRule="auto"/>
        <w:jc w:val="both"/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</w:pPr>
    </w:p>
    <w:p w:rsidR="003B72D4" w:rsidRPr="005A47AA" w:rsidRDefault="003B72D4" w:rsidP="00BE5F4A">
      <w:pPr>
        <w:spacing w:after="200" w:line="276" w:lineRule="auto"/>
        <w:jc w:val="both"/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</w:pPr>
    </w:p>
    <w:p w:rsidR="004E1ABD" w:rsidRDefault="00D50AFA" w:rsidP="00BE5F4A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Pour l’exercice mixte ville/hôpital, l’ARS favorisera les spécialités hors médecine générale</w:t>
      </w:r>
      <w:r w:rsidR="004125E2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. </w:t>
      </w:r>
      <w:r w:rsidR="006E6229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Les médecins généralistes pourront privilégier le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dispositif des 400</w:t>
      </w:r>
      <w:r w:rsidR="006E6229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(</w:t>
      </w:r>
      <w:hyperlink r:id="rId8" w:history="1">
        <w:r w:rsidR="004E1ABD" w:rsidRPr="005A47AA">
          <w:rPr>
            <w:rStyle w:val="Lienhypertexte"/>
            <w:rFonts w:ascii="Bookman Old Style" w:eastAsia="Calibri" w:hAnsi="Bookman Old Style"/>
            <w:bCs/>
            <w:sz w:val="22"/>
            <w:szCs w:val="22"/>
            <w:lang w:eastAsia="en-US"/>
          </w:rPr>
          <w:t>https://www.paca.ars.sante.fr/400-medecins-generalistes-recrutes-pour-renforcer-lacces-aux-soins</w:t>
        </w:r>
      </w:hyperlink>
      <w:r w:rsidR="004E1ABD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).</w:t>
      </w:r>
    </w:p>
    <w:p w:rsidR="003B72D4" w:rsidRDefault="003B72D4" w:rsidP="00BE5F4A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3B72D4" w:rsidRPr="005A47AA" w:rsidRDefault="003B72D4" w:rsidP="00BE5F4A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 xml:space="preserve">Stratégie </w:t>
      </w:r>
      <w:r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>territoriale</w:t>
      </w:r>
      <w:r w:rsidRPr="005A47AA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> </w:t>
      </w:r>
    </w:p>
    <w:p w:rsidR="005D62EC" w:rsidRPr="00176C33" w:rsidRDefault="00E163F2" w:rsidP="00E163F2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176C33">
        <w:rPr>
          <w:rFonts w:ascii="Bookman Old Style" w:eastAsia="Calibri" w:hAnsi="Bookman Old Style"/>
          <w:bCs/>
          <w:sz w:val="22"/>
          <w:szCs w:val="22"/>
          <w:lang w:eastAsia="en-US"/>
        </w:rPr>
        <w:t>Territorialement dans les deux cas de figure</w:t>
      </w:r>
      <w:r w:rsidR="00FA4BB3" w:rsidRPr="00176C33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(ville/hôpital ou hôpital/hôpital)</w:t>
      </w:r>
      <w:r w:rsidRPr="00176C33">
        <w:rPr>
          <w:rFonts w:ascii="Bookman Old Style" w:eastAsia="Calibri" w:hAnsi="Bookman Old Style"/>
          <w:bCs/>
          <w:sz w:val="22"/>
          <w:szCs w:val="22"/>
          <w:lang w:eastAsia="en-US"/>
        </w:rPr>
        <w:t>, l’ARS favorisera le</w:t>
      </w:r>
      <w:r w:rsidR="005E6F02" w:rsidRPr="00176C33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s établissements périphériques et </w:t>
      </w:r>
      <w:r w:rsidR="00493B22" w:rsidRPr="00176C33">
        <w:rPr>
          <w:rFonts w:ascii="Bookman Old Style" w:eastAsia="Calibri" w:hAnsi="Bookman Old Style"/>
          <w:bCs/>
          <w:sz w:val="22"/>
          <w:szCs w:val="22"/>
          <w:lang w:eastAsia="en-US"/>
        </w:rPr>
        <w:t>plus particulièrement les projets</w:t>
      </w:r>
      <w:r w:rsidR="005E6F02" w:rsidRPr="00176C33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="00493B22" w:rsidRPr="00176C33">
        <w:rPr>
          <w:rFonts w:ascii="Bookman Old Style" w:eastAsia="Calibri" w:hAnsi="Bookman Old Style"/>
          <w:bCs/>
          <w:sz w:val="22"/>
          <w:szCs w:val="22"/>
          <w:lang w:eastAsia="en-US"/>
        </w:rPr>
        <w:t>d</w:t>
      </w:r>
      <w:r w:rsidRPr="00176C33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es départements alpins, </w:t>
      </w:r>
      <w:r w:rsidR="00493B22" w:rsidRPr="00176C33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le haut pays Varois, </w:t>
      </w:r>
      <w:r w:rsidRPr="00176C33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le </w:t>
      </w:r>
      <w:r w:rsidR="005D62EC" w:rsidRPr="00176C33">
        <w:rPr>
          <w:rFonts w:ascii="Bookman Old Style" w:eastAsia="Calibri" w:hAnsi="Bookman Old Style"/>
          <w:bCs/>
          <w:sz w:val="22"/>
          <w:szCs w:val="22"/>
          <w:lang w:eastAsia="en-US"/>
        </w:rPr>
        <w:t>Vaucluse</w:t>
      </w:r>
      <w:r w:rsidR="00176C33">
        <w:rPr>
          <w:rFonts w:ascii="Bookman Old Style" w:eastAsia="Calibri" w:hAnsi="Bookman Old Style"/>
          <w:bCs/>
          <w:sz w:val="22"/>
          <w:szCs w:val="22"/>
          <w:lang w:eastAsia="en-US"/>
        </w:rPr>
        <w:t>,</w:t>
      </w:r>
      <w:r w:rsidR="005D62EC" w:rsidRPr="00176C33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l’arrière-pays niçois</w:t>
      </w:r>
      <w:r w:rsidR="00F86E2C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et </w:t>
      </w:r>
      <w:r w:rsidR="00176C33">
        <w:rPr>
          <w:rFonts w:ascii="Bookman Old Style" w:eastAsia="Calibri" w:hAnsi="Bookman Old Style"/>
          <w:bCs/>
          <w:sz w:val="22"/>
          <w:szCs w:val="22"/>
          <w:lang w:eastAsia="en-US"/>
        </w:rPr>
        <w:t>la commune d’Arles</w:t>
      </w:r>
      <w:r w:rsidR="005D62EC" w:rsidRPr="00176C33">
        <w:rPr>
          <w:rFonts w:ascii="Bookman Old Style" w:eastAsia="Calibri" w:hAnsi="Bookman Old Style"/>
          <w:bCs/>
          <w:sz w:val="22"/>
          <w:szCs w:val="22"/>
          <w:lang w:eastAsia="en-US"/>
        </w:rPr>
        <w:t>.</w:t>
      </w:r>
    </w:p>
    <w:p w:rsidR="00D13EF3" w:rsidRPr="005A47AA" w:rsidRDefault="00D13EF3" w:rsidP="00D57AAB">
      <w:pPr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493B22" w:rsidRDefault="00FA4BB3" w:rsidP="0016168D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L’objectif prioritaire est de développer les ASTP hors des CHU, en privilégiant les </w:t>
      </w:r>
      <w:r w:rsidR="00176C33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postes 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entre établissements périphériques</w:t>
      </w:r>
      <w:r w:rsidR="00D57AAB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="00D57AAB" w:rsidRPr="005A47AA">
        <w:rPr>
          <w:rFonts w:ascii="Bookman Old Style" w:hAnsi="Bookman Old Style"/>
          <w:sz w:val="22"/>
          <w:szCs w:val="22"/>
        </w:rPr>
        <w:t>et en priorité dans les zones médicales sous denses</w:t>
      </w:r>
      <w:r w:rsidR="00176C33" w:rsidRPr="00176C33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que </w:t>
      </w:r>
      <w:r w:rsidR="00176C33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sont </w:t>
      </w:r>
      <w:r w:rsidR="00176C33" w:rsidRPr="00176C33">
        <w:rPr>
          <w:rFonts w:ascii="Bookman Old Style" w:eastAsia="Calibri" w:hAnsi="Bookman Old Style"/>
          <w:bCs/>
          <w:sz w:val="22"/>
          <w:szCs w:val="22"/>
          <w:lang w:eastAsia="en-US"/>
        </w:rPr>
        <w:t>les territoires en zone d’intervention prioritaire (ZIP) ou zone d’action complémentaire (ZAC)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.  </w:t>
      </w:r>
    </w:p>
    <w:p w:rsidR="001865CF" w:rsidRPr="005A47AA" w:rsidRDefault="001865CF" w:rsidP="009D2486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0945D3" w:rsidRPr="0068674A" w:rsidRDefault="005E6F02" w:rsidP="00BE5F4A">
      <w:pPr>
        <w:pStyle w:val="Paragraphedeliste"/>
        <w:numPr>
          <w:ilvl w:val="0"/>
          <w:numId w:val="13"/>
        </w:numPr>
        <w:spacing w:after="200" w:line="276" w:lineRule="auto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>Procédure</w:t>
      </w:r>
      <w:r w:rsidR="002C531B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 xml:space="preserve"> </w:t>
      </w:r>
      <w:r w:rsidR="00BE5F4A" w:rsidRPr="0068674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:</w:t>
      </w:r>
    </w:p>
    <w:p w:rsidR="005E6F02" w:rsidRDefault="003D4D72" w:rsidP="001E06A5">
      <w:pPr>
        <w:spacing w:after="200" w:line="276" w:lineRule="auto"/>
        <w:jc w:val="both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La fenêtre de dépôt de cet </w:t>
      </w:r>
      <w:r w:rsidR="002C1BC3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appel à candidatures 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>est de</w:t>
      </w:r>
      <w:r w:rsidR="002C1BC3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="00493B22">
        <w:rPr>
          <w:rFonts w:ascii="Bookman Old Style" w:eastAsia="Calibri" w:hAnsi="Bookman Old Style"/>
          <w:bCs/>
          <w:sz w:val="22"/>
          <w:szCs w:val="22"/>
          <w:lang w:eastAsia="en-US"/>
        </w:rPr>
        <w:t>février 2024</w:t>
      </w:r>
      <w:r w:rsidR="00EA344F" w:rsidRPr="00EA344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au</w:t>
      </w:r>
      <w:r w:rsidR="00EA344F" w:rsidRPr="00EA344F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 xml:space="preserve"> </w:t>
      </w:r>
      <w:r w:rsidR="00EA344F" w:rsidRPr="003D4D72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30 avril </w:t>
      </w:r>
      <w:r w:rsidR="00493B22">
        <w:rPr>
          <w:rFonts w:ascii="Bookman Old Style" w:eastAsia="Calibri" w:hAnsi="Bookman Old Style"/>
          <w:bCs/>
          <w:sz w:val="22"/>
          <w:szCs w:val="22"/>
          <w:lang w:eastAsia="en-US"/>
        </w:rPr>
        <w:t>2024</w:t>
      </w:r>
      <w:r w:rsidR="00922A2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="00922A2F" w:rsidRPr="00EA344F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via</w:t>
      </w:r>
      <w:r w:rsidR="00EA344F" w:rsidRPr="002C1BC3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="002C1BC3" w:rsidRPr="002C1BC3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l’application en ligne </w:t>
      </w:r>
      <w:r w:rsidR="002C1BC3" w:rsidRPr="002C1BC3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>démarches</w:t>
      </w:r>
      <w:r w:rsidR="00EA344F" w:rsidRPr="002C1BC3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 xml:space="preserve"> simplifiée</w:t>
      </w:r>
      <w:r w:rsidR="002C1BC3" w:rsidRPr="002C1BC3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>s</w:t>
      </w:r>
      <w:r w:rsidR="00EA344F" w:rsidRPr="00EA344F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.</w:t>
      </w:r>
      <w:r w:rsidR="00EA344F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 xml:space="preserve"> </w:t>
      </w:r>
    </w:p>
    <w:p w:rsidR="00EA344F" w:rsidRPr="00EA344F" w:rsidRDefault="00EA344F" w:rsidP="001E06A5">
      <w:pPr>
        <w:spacing w:after="200" w:line="276" w:lineRule="auto"/>
        <w:jc w:val="both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  <w:r w:rsidRPr="00EA344F">
        <w:rPr>
          <w:rFonts w:ascii="Bookman Old Style" w:eastAsia="Calibri" w:hAnsi="Bookman Old Style"/>
          <w:bCs/>
          <w:sz w:val="22"/>
          <w:szCs w:val="22"/>
          <w:lang w:eastAsia="en-US"/>
        </w:rPr>
        <w:t>Une note explicative sur démarche</w:t>
      </w:r>
      <w:r w:rsidR="002C1BC3">
        <w:rPr>
          <w:rFonts w:ascii="Bookman Old Style" w:eastAsia="Calibri" w:hAnsi="Bookman Old Style"/>
          <w:bCs/>
          <w:sz w:val="22"/>
          <w:szCs w:val="22"/>
          <w:lang w:eastAsia="en-US"/>
        </w:rPr>
        <w:t>s</w:t>
      </w:r>
      <w:r w:rsidRPr="00EA344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simplifiée</w:t>
      </w:r>
      <w:r w:rsidR="002C1BC3">
        <w:rPr>
          <w:rFonts w:ascii="Bookman Old Style" w:eastAsia="Calibri" w:hAnsi="Bookman Old Style"/>
          <w:bCs/>
          <w:sz w:val="22"/>
          <w:szCs w:val="22"/>
          <w:lang w:eastAsia="en-US"/>
        </w:rPr>
        <w:t>s</w:t>
      </w:r>
      <w:r w:rsidRPr="00EA344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est disponible sur le site de l’ARS 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>Pa</w:t>
      </w:r>
      <w:r w:rsidRPr="00EA344F">
        <w:rPr>
          <w:rFonts w:ascii="Bookman Old Style" w:eastAsia="Calibri" w:hAnsi="Bookman Old Style"/>
          <w:bCs/>
          <w:sz w:val="22"/>
          <w:szCs w:val="22"/>
          <w:lang w:eastAsia="en-US"/>
        </w:rPr>
        <w:t>ca</w:t>
      </w:r>
      <w:r w:rsidR="00F24F77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, </w:t>
      </w:r>
      <w:r w:rsidR="002C1BC3">
        <w:rPr>
          <w:rFonts w:ascii="Bookman Old Style" w:eastAsia="Calibri" w:hAnsi="Bookman Old Style"/>
          <w:bCs/>
          <w:sz w:val="22"/>
          <w:szCs w:val="22"/>
          <w:lang w:eastAsia="en-US"/>
        </w:rPr>
        <w:t>merci d’en prendre connaissance</w:t>
      </w:r>
      <w:r w:rsidR="00F24F77">
        <w:rPr>
          <w:rFonts w:ascii="Bookman Old Style" w:eastAsia="Calibri" w:hAnsi="Bookman Old Style"/>
          <w:bCs/>
          <w:sz w:val="22"/>
          <w:szCs w:val="22"/>
          <w:lang w:eastAsia="en-US"/>
        </w:rPr>
        <w:t>.</w:t>
      </w:r>
    </w:p>
    <w:p w:rsidR="00EA344F" w:rsidRPr="00EA344F" w:rsidRDefault="00EA344F" w:rsidP="00EA344F">
      <w:pPr>
        <w:pStyle w:val="Paragraphedeliste"/>
        <w:numPr>
          <w:ilvl w:val="0"/>
          <w:numId w:val="36"/>
        </w:numPr>
        <w:spacing w:after="200" w:line="276" w:lineRule="auto"/>
        <w:jc w:val="both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  <w:r w:rsidRPr="00EA344F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 xml:space="preserve">Les modalités de dépôt </w:t>
      </w:r>
    </w:p>
    <w:p w:rsidR="00EA344F" w:rsidRDefault="002C531B" w:rsidP="001E06A5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2C531B">
        <w:rPr>
          <w:rFonts w:ascii="Bookman Old Style" w:eastAsia="Calibri" w:hAnsi="Bookman Old Style"/>
          <w:bCs/>
          <w:sz w:val="22"/>
          <w:szCs w:val="22"/>
          <w:lang w:eastAsia="en-US"/>
        </w:rPr>
        <w:t>Les demandes de postes ASTP sont à saisir</w:t>
      </w:r>
      <w:r w:rsidR="00EA344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par l’établissement recruteur. L’établissement recruteur pourra inviter l’établissement partenaire et le </w:t>
      </w:r>
      <w:r w:rsidR="00F24F77">
        <w:rPr>
          <w:rFonts w:ascii="Bookman Old Style" w:eastAsia="Calibri" w:hAnsi="Bookman Old Style"/>
          <w:bCs/>
          <w:sz w:val="22"/>
          <w:szCs w:val="22"/>
          <w:lang w:eastAsia="en-US"/>
        </w:rPr>
        <w:t>candidat</w:t>
      </w:r>
      <w:r w:rsidR="00EA344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à compléter le</w:t>
      </w:r>
      <w:r w:rsidR="003D4D72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urs paragraphes 1 et 3 </w:t>
      </w:r>
      <w:r w:rsidR="00EA344F">
        <w:rPr>
          <w:rFonts w:ascii="Bookman Old Style" w:eastAsia="Calibri" w:hAnsi="Bookman Old Style"/>
          <w:bCs/>
          <w:sz w:val="22"/>
          <w:szCs w:val="22"/>
          <w:lang w:eastAsia="en-US"/>
        </w:rPr>
        <w:t>(</w:t>
      </w:r>
      <w:proofErr w:type="spellStart"/>
      <w:r w:rsidR="00EA344F">
        <w:rPr>
          <w:rFonts w:ascii="Bookman Old Style" w:eastAsia="Calibri" w:hAnsi="Bookman Old Style"/>
          <w:bCs/>
          <w:sz w:val="22"/>
          <w:szCs w:val="22"/>
          <w:lang w:eastAsia="en-US"/>
        </w:rPr>
        <w:t>cf</w:t>
      </w:r>
      <w:proofErr w:type="spellEnd"/>
      <w:r w:rsidR="00EA344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paragraphe</w:t>
      </w:r>
      <w:r w:rsidR="00F24F77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IV de la</w:t>
      </w:r>
      <w:r w:rsidR="00EA344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note explicative).</w:t>
      </w:r>
    </w:p>
    <w:p w:rsidR="002C531B" w:rsidRDefault="002C1BC3" w:rsidP="001E06A5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Les dossiers doivent être déposés </w:t>
      </w:r>
      <w:r w:rsidR="002C531B" w:rsidRPr="002C531B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au plus tard le </w:t>
      </w:r>
      <w:r w:rsidR="00493B22">
        <w:rPr>
          <w:rFonts w:ascii="Bookman Old Style" w:eastAsia="Calibri" w:hAnsi="Bookman Old Style"/>
          <w:bCs/>
          <w:sz w:val="22"/>
          <w:szCs w:val="22"/>
          <w:lang w:eastAsia="en-US"/>
        </w:rPr>
        <w:t>30 avril 2024</w:t>
      </w:r>
      <w:r w:rsidR="002C531B" w:rsidRPr="002C531B">
        <w:rPr>
          <w:rFonts w:ascii="Bookman Old Style" w:eastAsia="Calibri" w:hAnsi="Bookman Old Style"/>
          <w:bCs/>
          <w:sz w:val="22"/>
          <w:szCs w:val="22"/>
          <w:lang w:eastAsia="en-US"/>
        </w:rPr>
        <w:t>, en cliquant sur le lien suivant (de préférence via le navigateur Google chrome ou Mozilla Firefox)</w:t>
      </w:r>
      <w:r w:rsidR="002C531B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 : </w:t>
      </w:r>
    </w:p>
    <w:p w:rsidR="008E045B" w:rsidRDefault="008E045B" w:rsidP="002C1BC3">
      <w:pPr>
        <w:spacing w:after="200" w:line="276" w:lineRule="auto"/>
        <w:jc w:val="center"/>
      </w:pPr>
      <w:hyperlink r:id="rId9" w:history="1">
        <w:r w:rsidRPr="00CB6372">
          <w:rPr>
            <w:rStyle w:val="Lienhypertexte"/>
          </w:rPr>
          <w:t>https://www.demarches-simplifiees.fr/commencer/appel-a-candidatures-assistants-specialistes-a-tem</w:t>
        </w:r>
      </w:hyperlink>
    </w:p>
    <w:p w:rsidR="00F86E2C" w:rsidRPr="00D11F84" w:rsidRDefault="00F86E2C">
      <w:pPr>
        <w:spacing w:after="200" w:line="276" w:lineRule="auto"/>
        <w:jc w:val="center"/>
        <w:rPr>
          <w:rFonts w:ascii="Bookman Old Style" w:eastAsia="Calibri" w:hAnsi="Bookman Old Style"/>
          <w:bCs/>
          <w:color w:val="0000FF" w:themeColor="hyperlink"/>
          <w:sz w:val="22"/>
          <w:szCs w:val="22"/>
          <w:u w:val="single"/>
          <w:lang w:eastAsia="en-US"/>
        </w:rPr>
      </w:pPr>
    </w:p>
    <w:p w:rsidR="002C531B" w:rsidRPr="002C1BC3" w:rsidRDefault="002C531B" w:rsidP="002C1BC3">
      <w:pPr>
        <w:spacing w:after="200" w:line="276" w:lineRule="auto"/>
        <w:jc w:val="center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  <w:r w:rsidRPr="002C1BC3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Aucun dossier papier ou reçu par mail ne sera pris en compte.</w:t>
      </w:r>
    </w:p>
    <w:p w:rsidR="002C531B" w:rsidRDefault="002C531B" w:rsidP="001E06A5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2C531B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Au préalable, il est nécessaire de vous munir du Numéro de SIRET de votre établissement. Les dossiers doivent être saisis </w:t>
      </w:r>
      <w:r w:rsidRPr="002C531B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 xml:space="preserve">uniquement par l’établissement </w:t>
      </w:r>
      <w:r w:rsidRPr="002C531B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lastRenderedPageBreak/>
        <w:t>hospitalier recruteur, avec l’accord de l’établissement partenaire</w:t>
      </w:r>
      <w:r w:rsidRPr="002C531B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(lettre d’engagement proposé</w:t>
      </w:r>
      <w:r w:rsidR="00686C77">
        <w:rPr>
          <w:rFonts w:ascii="Bookman Old Style" w:eastAsia="Calibri" w:hAnsi="Bookman Old Style"/>
          <w:bCs/>
          <w:sz w:val="22"/>
          <w:szCs w:val="22"/>
          <w:lang w:eastAsia="en-US"/>
        </w:rPr>
        <w:t>e</w:t>
      </w:r>
      <w:r w:rsidRPr="002C531B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en annexe).</w:t>
      </w:r>
    </w:p>
    <w:p w:rsidR="002C1BC3" w:rsidRDefault="002C531B" w:rsidP="002C1BC3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2C531B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Les dossiers de candidatures complétés et déposés en ligne devront être constitués des pièces suivantes obligatoires : </w:t>
      </w:r>
    </w:p>
    <w:p w:rsidR="002C531B" w:rsidRPr="002C1BC3" w:rsidRDefault="002C531B" w:rsidP="002C1BC3">
      <w:pPr>
        <w:pStyle w:val="Paragraphedeliste"/>
        <w:numPr>
          <w:ilvl w:val="0"/>
          <w:numId w:val="35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2C1BC3">
        <w:rPr>
          <w:rFonts w:ascii="Bookman Old Style" w:eastAsia="Calibri" w:hAnsi="Bookman Old Style"/>
          <w:bCs/>
          <w:sz w:val="22"/>
          <w:szCs w:val="22"/>
          <w:lang w:eastAsia="en-US"/>
        </w:rPr>
        <w:t>CV</w:t>
      </w:r>
      <w:r w:rsidR="00EA344F" w:rsidRPr="002C1BC3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du candidat</w:t>
      </w:r>
    </w:p>
    <w:p w:rsidR="00EA344F" w:rsidRDefault="002C531B" w:rsidP="00EA344F">
      <w:pPr>
        <w:pStyle w:val="Paragraphedeliste"/>
        <w:numPr>
          <w:ilvl w:val="0"/>
          <w:numId w:val="35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EA344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Le projet professionnel du candidat : lettre de motivation du candidat </w:t>
      </w:r>
      <w:r w:rsidR="00EA344F" w:rsidRPr="00EA344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au poste d’ASTP et précisant ses perspectives professionnelles. </w:t>
      </w:r>
    </w:p>
    <w:p w:rsidR="00EA344F" w:rsidRPr="00EA344F" w:rsidRDefault="00EA344F" w:rsidP="00EA344F">
      <w:pPr>
        <w:pStyle w:val="Paragraphedeliste"/>
        <w:numPr>
          <w:ilvl w:val="0"/>
          <w:numId w:val="35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Attestation à l’ordre des médecins et n° RPPS ou une date d</w:t>
      </w:r>
      <w:r w:rsidR="002C1BC3">
        <w:rPr>
          <w:rFonts w:ascii="Bookman Old Style" w:eastAsia="Calibri" w:hAnsi="Bookman Old Style"/>
          <w:bCs/>
          <w:sz w:val="22"/>
          <w:szCs w:val="22"/>
          <w:lang w:eastAsia="en-US"/>
        </w:rPr>
        <w:t>e soutenance et date d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’inscription prévisionnelle </w:t>
      </w:r>
      <w:r w:rsidR="002C1BC3">
        <w:rPr>
          <w:rFonts w:ascii="Bookman Old Style" w:eastAsia="Calibri" w:hAnsi="Bookman Old Style"/>
          <w:bCs/>
          <w:sz w:val="22"/>
          <w:szCs w:val="22"/>
          <w:lang w:eastAsia="en-US"/>
        </w:rPr>
        <w:t>à l’ordre.</w:t>
      </w:r>
    </w:p>
    <w:p w:rsidR="002C531B" w:rsidRDefault="00EA344F" w:rsidP="001E06A5">
      <w:pPr>
        <w:pStyle w:val="Paragraphedeliste"/>
        <w:numPr>
          <w:ilvl w:val="0"/>
          <w:numId w:val="35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La lettre d’engagement signée par les 2 établissements partenaires.</w:t>
      </w:r>
    </w:p>
    <w:p w:rsidR="008E4525" w:rsidRDefault="008E4525" w:rsidP="008E4525">
      <w:pPr>
        <w:spacing w:after="200" w:line="276" w:lineRule="auto"/>
        <w:jc w:val="both"/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</w:pPr>
      <w:r w:rsidRPr="00B239B7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u w:val="single"/>
          <w:lang w:eastAsia="en-US"/>
        </w:rPr>
        <w:t>Attention</w:t>
      </w:r>
      <w:r w:rsidRPr="00B239B7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 xml:space="preserve"> : les candidatures de praticiens n’ayant pas </w:t>
      </w:r>
      <w:r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>obtenu leur diplôme en France</w:t>
      </w:r>
      <w:r w:rsidR="00686C77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>, dont le diplôme</w:t>
      </w:r>
      <w:r w:rsidR="00F86E2C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 xml:space="preserve"> </w:t>
      </w:r>
      <w:r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>n’est pas encore</w:t>
      </w:r>
      <w:r w:rsidRPr="00B239B7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 xml:space="preserve"> reconnu au moment de la commission régionale de </w:t>
      </w:r>
      <w:proofErr w:type="gramStart"/>
      <w:r w:rsidRPr="00B239B7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>priorisation</w:t>
      </w:r>
      <w:r w:rsidR="00686C77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 xml:space="preserve">, </w:t>
      </w:r>
      <w:r w:rsidRPr="00B239B7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 xml:space="preserve"> ne</w:t>
      </w:r>
      <w:proofErr w:type="gramEnd"/>
      <w:r w:rsidRPr="00B239B7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 xml:space="preserve"> pourront pas être retenues. </w:t>
      </w:r>
    </w:p>
    <w:p w:rsidR="008E4525" w:rsidRDefault="008E4525" w:rsidP="008E4525">
      <w:pPr>
        <w:spacing w:after="200" w:line="276" w:lineRule="auto"/>
        <w:jc w:val="both"/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</w:pPr>
      <w:r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>Au moment du dépôt :</w:t>
      </w:r>
    </w:p>
    <w:p w:rsidR="008E4525" w:rsidRDefault="008E4525" w:rsidP="008E4525">
      <w:pPr>
        <w:pStyle w:val="Paragraphedeliste"/>
        <w:numPr>
          <w:ilvl w:val="0"/>
          <w:numId w:val="30"/>
        </w:numPr>
        <w:spacing w:after="200" w:line="276" w:lineRule="auto"/>
        <w:jc w:val="both"/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</w:pPr>
      <w:r w:rsidRPr="00E665EF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 xml:space="preserve">Pour les praticiens Européens ayant un diplôme européen, le dossier devra être déposé à l’ordre </w:t>
      </w:r>
      <w:r w:rsidR="00686C77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 xml:space="preserve">des médecins </w:t>
      </w:r>
      <w:r w:rsidRPr="00E665EF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>au moment du dépôt de la candidature</w:t>
      </w:r>
      <w:r w:rsidR="00686C77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 xml:space="preserve"> (nous fournir le </w:t>
      </w:r>
      <w:r w:rsidR="008E045B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>récépissé</w:t>
      </w:r>
      <w:r w:rsidR="00686C77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 xml:space="preserve"> du dépôt) ?</w:t>
      </w:r>
      <w:r w:rsidRPr="00E665EF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>.</w:t>
      </w:r>
    </w:p>
    <w:p w:rsidR="008E4525" w:rsidRPr="00E665EF" w:rsidRDefault="008E4525" w:rsidP="008E4525">
      <w:pPr>
        <w:pStyle w:val="Paragraphedeliste"/>
        <w:spacing w:after="200" w:line="276" w:lineRule="auto"/>
        <w:jc w:val="both"/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</w:pPr>
    </w:p>
    <w:p w:rsidR="008E4525" w:rsidRPr="00E665EF" w:rsidRDefault="008E4525" w:rsidP="008E4525">
      <w:pPr>
        <w:pStyle w:val="Paragraphedeliste"/>
        <w:numPr>
          <w:ilvl w:val="0"/>
          <w:numId w:val="30"/>
        </w:numPr>
        <w:spacing w:after="200" w:line="276" w:lineRule="auto"/>
        <w:jc w:val="both"/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</w:pPr>
      <w:r w:rsidRPr="00E665EF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 xml:space="preserve">Pour les Praticiens à Diplôme Hors Union Européenne : </w:t>
      </w:r>
      <w:r w:rsidR="00686C77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 xml:space="preserve">nous fournir une </w:t>
      </w:r>
      <w:r w:rsidRPr="00E665EF"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  <w:t>attestation de dépôt de demande d’autorisation d’exercice au CNG antérieure au 31 décembre 2023 pour une prise de fonction au 1/11/2024</w:t>
      </w:r>
    </w:p>
    <w:p w:rsidR="00EA344F" w:rsidRPr="00EA344F" w:rsidRDefault="00EA344F" w:rsidP="00EA344F">
      <w:pPr>
        <w:spacing w:after="200" w:line="276" w:lineRule="auto"/>
        <w:ind w:left="360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EA344F" w:rsidRPr="00EA344F" w:rsidRDefault="00EA344F" w:rsidP="00EA344F">
      <w:pPr>
        <w:pStyle w:val="Paragraphedeliste"/>
        <w:numPr>
          <w:ilvl w:val="0"/>
          <w:numId w:val="36"/>
        </w:numPr>
        <w:spacing w:after="200" w:line="276" w:lineRule="auto"/>
        <w:jc w:val="both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  <w:r w:rsidRPr="00EA344F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Commission de priorisation</w:t>
      </w:r>
    </w:p>
    <w:p w:rsidR="00800D4E" w:rsidRPr="005A47AA" w:rsidRDefault="002C1BC3" w:rsidP="001E06A5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Les dossiers seront instruits et priorisés lors</w:t>
      </w:r>
      <w:r w:rsidR="00800D4E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d’une commission régionale 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>se réunira</w:t>
      </w:r>
      <w:r w:rsidR="00800D4E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="000E009D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en</w:t>
      </w:r>
      <w:r w:rsidR="00FF350F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="00493B22">
        <w:rPr>
          <w:rFonts w:ascii="Bookman Old Style" w:eastAsia="Calibri" w:hAnsi="Bookman Old Style"/>
          <w:bCs/>
          <w:sz w:val="22"/>
          <w:szCs w:val="22"/>
          <w:lang w:eastAsia="en-US"/>
        </w:rPr>
        <w:t>juin 2024</w:t>
      </w:r>
      <w:r w:rsidR="0016168D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. </w:t>
      </w:r>
    </w:p>
    <w:p w:rsidR="00FF350F" w:rsidRPr="005A47AA" w:rsidRDefault="00FF350F" w:rsidP="001E06A5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Critères de priorisation des candidatures :</w:t>
      </w:r>
    </w:p>
    <w:p w:rsidR="00FF350F" w:rsidRPr="008E4525" w:rsidRDefault="004D6257" w:rsidP="004D6257">
      <w:pPr>
        <w:pStyle w:val="Paragraphedeliste"/>
        <w:numPr>
          <w:ilvl w:val="0"/>
          <w:numId w:val="16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8E4525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Critères territoriaux et </w:t>
      </w:r>
      <w:r w:rsidR="005E36FC" w:rsidRPr="008E4525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besoins identifiés dans les </w:t>
      </w:r>
      <w:r w:rsidR="00FF350F" w:rsidRPr="008E4525">
        <w:rPr>
          <w:rFonts w:ascii="Bookman Old Style" w:eastAsia="Calibri" w:hAnsi="Bookman Old Style"/>
          <w:bCs/>
          <w:sz w:val="22"/>
          <w:szCs w:val="22"/>
          <w:lang w:eastAsia="en-US"/>
        </w:rPr>
        <w:t>GHT</w:t>
      </w:r>
      <w:r w:rsidR="00176C33" w:rsidRPr="008E4525">
        <w:rPr>
          <w:rFonts w:ascii="Bookman Old Style" w:eastAsia="Calibri" w:hAnsi="Bookman Old Style"/>
          <w:bCs/>
          <w:sz w:val="22"/>
          <w:szCs w:val="22"/>
          <w:lang w:eastAsia="en-US"/>
        </w:rPr>
        <w:t>. Toutes les spécialités et filières peuvent être concernées, et en particulier les spécialités présentant des difficultés de recrutement dans certains hôpitaux</w:t>
      </w:r>
    </w:p>
    <w:p w:rsidR="00176C33" w:rsidRPr="008E4525" w:rsidRDefault="00176C33" w:rsidP="004D6257">
      <w:pPr>
        <w:pStyle w:val="Paragraphedeliste"/>
        <w:numPr>
          <w:ilvl w:val="0"/>
          <w:numId w:val="16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8E4525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L’un des deux établissements de santé qui s’engage à proposer un poste plus pérenne à plus ou moyen terme afin de poursuivre la collaboration. Le poste d’assistant doit être envisagé comme </w:t>
      </w:r>
      <w:r w:rsidR="008E4525" w:rsidRPr="008E4525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le point de départ du développement de </w:t>
      </w:r>
      <w:r w:rsidR="00686C77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la </w:t>
      </w:r>
      <w:r w:rsidR="008E4525" w:rsidRPr="008E4525">
        <w:rPr>
          <w:rFonts w:ascii="Bookman Old Style" w:eastAsia="Calibri" w:hAnsi="Bookman Old Style"/>
          <w:bCs/>
          <w:sz w:val="22"/>
          <w:szCs w:val="22"/>
          <w:lang w:eastAsia="en-US"/>
        </w:rPr>
        <w:t>filière</w:t>
      </w:r>
    </w:p>
    <w:p w:rsidR="00176C33" w:rsidRPr="008E4525" w:rsidRDefault="00176C33" w:rsidP="004D6257">
      <w:pPr>
        <w:pStyle w:val="Paragraphedeliste"/>
        <w:numPr>
          <w:ilvl w:val="0"/>
          <w:numId w:val="16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8E4525">
        <w:rPr>
          <w:rFonts w:ascii="Bookman Old Style" w:eastAsia="Calibri" w:hAnsi="Bookman Old Style"/>
          <w:bCs/>
          <w:sz w:val="22"/>
          <w:szCs w:val="22"/>
          <w:lang w:eastAsia="en-US"/>
        </w:rPr>
        <w:t>Perspectives professionnelles des jeunes médecins en poste dans l’un ou l’autre des établissements</w:t>
      </w:r>
      <w:r w:rsidR="00686C77">
        <w:rPr>
          <w:rFonts w:ascii="Bookman Old Style" w:eastAsia="Calibri" w:hAnsi="Bookman Old Style"/>
          <w:bCs/>
          <w:sz w:val="22"/>
          <w:szCs w:val="22"/>
          <w:lang w:eastAsia="en-US"/>
        </w:rPr>
        <w:t> ? je ne comprends pas</w:t>
      </w:r>
    </w:p>
    <w:p w:rsidR="00B239B7" w:rsidRPr="00B239B7" w:rsidRDefault="00B239B7" w:rsidP="001E06A5">
      <w:pPr>
        <w:spacing w:after="200" w:line="276" w:lineRule="auto"/>
        <w:jc w:val="both"/>
        <w:rPr>
          <w:rFonts w:ascii="Bookman Old Style" w:eastAsia="Calibri" w:hAnsi="Bookman Old Style"/>
          <w:b/>
          <w:bCs/>
          <w:i/>
          <w:color w:val="00B050"/>
          <w:sz w:val="22"/>
          <w:szCs w:val="22"/>
          <w:lang w:eastAsia="en-US"/>
        </w:rPr>
      </w:pPr>
    </w:p>
    <w:p w:rsidR="00727E0A" w:rsidRPr="00D41D20" w:rsidRDefault="00727E0A" w:rsidP="00727E0A">
      <w:pPr>
        <w:pStyle w:val="Paragraphedeliste"/>
        <w:numPr>
          <w:ilvl w:val="0"/>
          <w:numId w:val="13"/>
        </w:numPr>
        <w:spacing w:after="200" w:line="276" w:lineRule="auto"/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</w:pPr>
      <w:r w:rsidRPr="00D41D20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 xml:space="preserve">Le </w:t>
      </w:r>
      <w:r w:rsidR="00D41D20" w:rsidRPr="00D41D20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 xml:space="preserve">suivi et l’évaluation </w:t>
      </w:r>
    </w:p>
    <w:p w:rsidR="009D2486" w:rsidRPr="005A47AA" w:rsidRDefault="009D2486" w:rsidP="002F2855">
      <w:pPr>
        <w:spacing w:after="200" w:line="276" w:lineRule="auto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lastRenderedPageBreak/>
        <w:t xml:space="preserve">Un rapport </w:t>
      </w:r>
      <w:r w:rsidR="0016168D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d’évaluation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sera demandé aux ASTP à la fin de leur contrat (modèle ARS).  </w:t>
      </w:r>
    </w:p>
    <w:p w:rsidR="002E317D" w:rsidRPr="005A47AA" w:rsidRDefault="004D6257" w:rsidP="002F2855">
      <w:pPr>
        <w:spacing w:after="200" w:line="276" w:lineRule="auto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Une e</w:t>
      </w:r>
      <w:r w:rsidR="002E317D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nquête auprès des </w:t>
      </w:r>
      <w:r w:rsidR="00E53CD3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structures d’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accueil</w:t>
      </w:r>
      <w:r w:rsidR="002E317D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sera </w:t>
      </w:r>
      <w:r w:rsidR="005E6F02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également </w:t>
      </w:r>
      <w:r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menée </w:t>
      </w:r>
      <w:r w:rsidR="002E317D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pour conna</w:t>
      </w:r>
      <w:r w:rsidR="00686C77">
        <w:rPr>
          <w:rFonts w:ascii="Bookman Old Style" w:eastAsia="Calibri" w:hAnsi="Bookman Old Style"/>
          <w:bCs/>
          <w:sz w:val="22"/>
          <w:szCs w:val="22"/>
          <w:lang w:eastAsia="en-US"/>
        </w:rPr>
        <w:t>î</w:t>
      </w:r>
      <w:r w:rsidR="002E317D" w:rsidRPr="005A47AA">
        <w:rPr>
          <w:rFonts w:ascii="Bookman Old Style" w:eastAsia="Calibri" w:hAnsi="Bookman Old Style"/>
          <w:bCs/>
          <w:sz w:val="22"/>
          <w:szCs w:val="22"/>
          <w:lang w:eastAsia="en-US"/>
        </w:rPr>
        <w:t>tre :</w:t>
      </w:r>
    </w:p>
    <w:p w:rsidR="00D41D20" w:rsidRDefault="00D41D20" w:rsidP="00D41D20">
      <w:pPr>
        <w:pStyle w:val="Paragraphedeliste"/>
        <w:numPr>
          <w:ilvl w:val="0"/>
          <w:numId w:val="37"/>
        </w:numPr>
        <w:spacing w:after="200" w:line="276" w:lineRule="auto"/>
        <w:rPr>
          <w:rFonts w:ascii="Bookman Old Style" w:eastAsia="Calibri" w:hAnsi="Bookman Old Style"/>
          <w:bCs/>
          <w:sz w:val="22"/>
          <w:szCs w:val="22"/>
          <w:lang w:eastAsia="en-US"/>
        </w:rPr>
      </w:pPr>
      <w:proofErr w:type="gramStart"/>
      <w:r>
        <w:rPr>
          <w:rFonts w:ascii="Bookman Old Style" w:eastAsia="Calibri" w:hAnsi="Bookman Old Style"/>
          <w:bCs/>
          <w:sz w:val="22"/>
          <w:szCs w:val="22"/>
          <w:lang w:eastAsia="en-US"/>
        </w:rPr>
        <w:t>l</w:t>
      </w:r>
      <w:r w:rsidR="002E317D" w:rsidRPr="00D41D20">
        <w:rPr>
          <w:rFonts w:ascii="Bookman Old Style" w:eastAsia="Calibri" w:hAnsi="Bookman Old Style"/>
          <w:bCs/>
          <w:sz w:val="22"/>
          <w:szCs w:val="22"/>
          <w:lang w:eastAsia="en-US"/>
        </w:rPr>
        <w:t>es</w:t>
      </w:r>
      <w:proofErr w:type="gramEnd"/>
      <w:r w:rsidR="002E317D" w:rsidRPr="00D41D20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suites données aux contr</w:t>
      </w:r>
      <w:r w:rsidR="001E06A5" w:rsidRPr="00D41D20">
        <w:rPr>
          <w:rFonts w:ascii="Bookman Old Style" w:eastAsia="Calibri" w:hAnsi="Bookman Old Style"/>
          <w:bCs/>
          <w:sz w:val="22"/>
          <w:szCs w:val="22"/>
          <w:lang w:eastAsia="en-US"/>
        </w:rPr>
        <w:t>ats des ASTP afin de vérifier qu</w:t>
      </w:r>
      <w:r w:rsidR="002E317D" w:rsidRPr="00D41D20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e cela a favorisé le recrutement </w:t>
      </w:r>
      <w:r w:rsidR="005E6F02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de praticiens médicaux </w:t>
      </w:r>
      <w:r w:rsidR="00686C77" w:rsidRPr="00D41D20">
        <w:rPr>
          <w:rFonts w:ascii="Bookman Old Style" w:eastAsia="Calibri" w:hAnsi="Bookman Old Style"/>
          <w:bCs/>
          <w:sz w:val="22"/>
          <w:szCs w:val="22"/>
          <w:lang w:eastAsia="en-US"/>
        </w:rPr>
        <w:t>d</w:t>
      </w:r>
      <w:r w:rsidR="00686C77">
        <w:rPr>
          <w:rFonts w:ascii="Bookman Old Style" w:eastAsia="Calibri" w:hAnsi="Bookman Old Style"/>
          <w:bCs/>
          <w:sz w:val="22"/>
          <w:szCs w:val="22"/>
          <w:lang w:eastAsia="en-US"/>
        </w:rPr>
        <w:t>ans les</w:t>
      </w:r>
      <w:r w:rsidR="00686C77" w:rsidRPr="00D41D20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="002E317D" w:rsidRPr="00D41D20">
        <w:rPr>
          <w:rFonts w:ascii="Bookman Old Style" w:eastAsia="Calibri" w:hAnsi="Bookman Old Style"/>
          <w:bCs/>
          <w:sz w:val="22"/>
          <w:szCs w:val="22"/>
          <w:lang w:eastAsia="en-US"/>
        </w:rPr>
        <w:t>centres hospitaliers.</w:t>
      </w:r>
    </w:p>
    <w:p w:rsidR="00D41D20" w:rsidRPr="00D41D20" w:rsidRDefault="00D41D20" w:rsidP="00D41D20">
      <w:pPr>
        <w:pStyle w:val="Paragraphedeliste"/>
        <w:spacing w:after="200" w:line="276" w:lineRule="auto"/>
        <w:ind w:left="1155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5A47AA" w:rsidRPr="00D41D20" w:rsidRDefault="00FF350F" w:rsidP="00D41D20">
      <w:pPr>
        <w:pStyle w:val="Paragraphedeliste"/>
        <w:numPr>
          <w:ilvl w:val="0"/>
          <w:numId w:val="37"/>
        </w:numPr>
        <w:spacing w:after="200" w:line="276" w:lineRule="auto"/>
        <w:rPr>
          <w:rFonts w:ascii="Bookman Old Style" w:eastAsia="Calibri" w:hAnsi="Bookman Old Style"/>
          <w:bCs/>
          <w:sz w:val="22"/>
          <w:szCs w:val="22"/>
          <w:lang w:eastAsia="en-US"/>
        </w:rPr>
      </w:pPr>
      <w:proofErr w:type="gramStart"/>
      <w:r w:rsidRPr="00D41D20">
        <w:rPr>
          <w:rFonts w:ascii="Bookman Old Style" w:eastAsia="Calibri" w:hAnsi="Bookman Old Style"/>
          <w:bCs/>
          <w:sz w:val="22"/>
          <w:szCs w:val="22"/>
          <w:lang w:eastAsia="en-US"/>
        </w:rPr>
        <w:t>l’articulation</w:t>
      </w:r>
      <w:proofErr w:type="gramEnd"/>
      <w:r w:rsidRPr="00D41D20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entre les deux </w:t>
      </w:r>
      <w:r w:rsidR="00C95AA1" w:rsidRPr="00D41D20">
        <w:rPr>
          <w:rFonts w:ascii="Bookman Old Style" w:eastAsia="Calibri" w:hAnsi="Bookman Old Style"/>
          <w:bCs/>
          <w:sz w:val="22"/>
          <w:szCs w:val="22"/>
          <w:lang w:eastAsia="en-US"/>
        </w:rPr>
        <w:t>structures d’accueil</w:t>
      </w:r>
    </w:p>
    <w:p w:rsidR="00D41D20" w:rsidRDefault="00D41D20" w:rsidP="00D41D20">
      <w:pPr>
        <w:spacing w:after="200" w:line="276" w:lineRule="auto"/>
        <w:ind w:firstLine="360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B239B7" w:rsidRPr="00D41D20" w:rsidRDefault="00B239B7" w:rsidP="00B239B7">
      <w:pPr>
        <w:pStyle w:val="Paragraphedeliste"/>
        <w:numPr>
          <w:ilvl w:val="0"/>
          <w:numId w:val="13"/>
        </w:numPr>
        <w:spacing w:after="200" w:line="276" w:lineRule="auto"/>
        <w:jc w:val="both"/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</w:pPr>
      <w:r w:rsidRPr="00D41D20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>Cas particulier</w:t>
      </w:r>
    </w:p>
    <w:p w:rsidR="00B239B7" w:rsidRDefault="00B239B7" w:rsidP="00B239B7">
      <w:pPr>
        <w:pStyle w:val="Paragraphedeliste"/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B239B7" w:rsidRDefault="00B239B7" w:rsidP="00B239B7">
      <w:pPr>
        <w:pStyle w:val="Paragraphedeliste"/>
        <w:numPr>
          <w:ilvl w:val="0"/>
          <w:numId w:val="33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Remplacement d’un candidat suite à un </w:t>
      </w:r>
      <w:proofErr w:type="gramStart"/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désistement </w:t>
      </w:r>
      <w:r w:rsidR="00686C77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="00F86E2C">
        <w:rPr>
          <w:rFonts w:ascii="Bookman Old Style" w:eastAsia="Calibri" w:hAnsi="Bookman Old Style"/>
          <w:bCs/>
          <w:sz w:val="22"/>
          <w:szCs w:val="22"/>
          <w:lang w:eastAsia="en-US"/>
        </w:rPr>
        <w:t>(</w:t>
      </w:r>
      <w:proofErr w:type="gramEnd"/>
      <w:r w:rsidR="00F86E2C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avant le 1er octobre </w:t>
      </w:r>
      <w:r w:rsidR="004A366D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2024 </w:t>
      </w:r>
      <w:r w:rsidR="00F86E2C">
        <w:rPr>
          <w:rFonts w:ascii="Bookman Old Style" w:eastAsia="Calibri" w:hAnsi="Bookman Old Style"/>
          <w:bCs/>
          <w:sz w:val="22"/>
          <w:szCs w:val="22"/>
          <w:lang w:eastAsia="en-US"/>
        </w:rPr>
        <w:t>pour une prise de poste au 1</w:t>
      </w:r>
      <w:r w:rsidR="00F86E2C" w:rsidRPr="00D11F84">
        <w:rPr>
          <w:rFonts w:ascii="Bookman Old Style" w:eastAsia="Calibri" w:hAnsi="Bookman Old Style"/>
          <w:bCs/>
          <w:sz w:val="22"/>
          <w:szCs w:val="22"/>
          <w:vertAlign w:val="superscript"/>
          <w:lang w:eastAsia="en-US"/>
        </w:rPr>
        <w:t>er</w:t>
      </w:r>
      <w:r w:rsidR="00F86E2C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novembre et avant le 1</w:t>
      </w:r>
      <w:r w:rsidR="00F86E2C" w:rsidRPr="00D11F84">
        <w:rPr>
          <w:rFonts w:ascii="Bookman Old Style" w:eastAsia="Calibri" w:hAnsi="Bookman Old Style"/>
          <w:bCs/>
          <w:sz w:val="22"/>
          <w:szCs w:val="22"/>
          <w:vertAlign w:val="superscript"/>
          <w:lang w:eastAsia="en-US"/>
        </w:rPr>
        <w:t>er</w:t>
      </w:r>
      <w:r w:rsidR="00F86E2C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avril pour une prise de poste au 1</w:t>
      </w:r>
      <w:r w:rsidR="00F86E2C" w:rsidRPr="00D11F84">
        <w:rPr>
          <w:rFonts w:ascii="Bookman Old Style" w:eastAsia="Calibri" w:hAnsi="Bookman Old Style"/>
          <w:bCs/>
          <w:sz w:val="22"/>
          <w:szCs w:val="22"/>
          <w:vertAlign w:val="superscript"/>
          <w:lang w:eastAsia="en-US"/>
        </w:rPr>
        <w:t>er</w:t>
      </w:r>
      <w:r w:rsidR="00F86E2C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mai 202</w:t>
      </w:r>
      <w:r w:rsidR="004A366D">
        <w:rPr>
          <w:rFonts w:ascii="Bookman Old Style" w:eastAsia="Calibri" w:hAnsi="Bookman Old Style"/>
          <w:bCs/>
          <w:sz w:val="22"/>
          <w:szCs w:val="22"/>
          <w:lang w:eastAsia="en-US"/>
        </w:rPr>
        <w:t>5)</w:t>
      </w:r>
    </w:p>
    <w:p w:rsidR="00B239B7" w:rsidRPr="00B239B7" w:rsidRDefault="00B239B7" w:rsidP="00B239B7">
      <w:pPr>
        <w:spacing w:after="200" w:line="276" w:lineRule="auto"/>
        <w:ind w:left="360"/>
        <w:jc w:val="both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  <w:r w:rsidRPr="00B239B7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Informer immédiatement l’ARS</w:t>
      </w:r>
    </w:p>
    <w:p w:rsidR="00B239B7" w:rsidRDefault="00B239B7" w:rsidP="00B239B7">
      <w:pPr>
        <w:spacing w:after="200" w:line="276" w:lineRule="auto"/>
        <w:ind w:left="360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Possibilité de proposer dans les meilleurs délais un nouveau candidat. L’établissement de santé recruteur devra s’assurer que toutes les parties sont d’</w:t>
      </w:r>
      <w:r w:rsidR="00E92B80">
        <w:rPr>
          <w:rFonts w:ascii="Bookman Old Style" w:eastAsia="Calibri" w:hAnsi="Bookman Old Style"/>
          <w:bCs/>
          <w:sz w:val="22"/>
          <w:szCs w:val="22"/>
          <w:lang w:eastAsia="en-US"/>
        </w:rPr>
        <w:t>accords (les chefs de service et la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structure partenaire).</w:t>
      </w:r>
    </w:p>
    <w:p w:rsidR="00B239B7" w:rsidRDefault="00B239B7" w:rsidP="00B239B7">
      <w:pPr>
        <w:spacing w:after="200" w:line="276" w:lineRule="auto"/>
        <w:ind w:left="360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L’établissement de santé recruteur devra transmettre à l’ARS pour examen :</w:t>
      </w:r>
    </w:p>
    <w:p w:rsidR="00B239B7" w:rsidRDefault="00B239B7" w:rsidP="00B239B7">
      <w:pPr>
        <w:pStyle w:val="Paragraphedeliste"/>
        <w:numPr>
          <w:ilvl w:val="0"/>
          <w:numId w:val="34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Le motif de désistement de l’ancien candidat</w:t>
      </w:r>
    </w:p>
    <w:p w:rsidR="00B239B7" w:rsidRDefault="00B239B7" w:rsidP="00B239B7">
      <w:pPr>
        <w:pStyle w:val="Paragraphedeliste"/>
        <w:numPr>
          <w:ilvl w:val="0"/>
          <w:numId w:val="34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CV</w:t>
      </w:r>
    </w:p>
    <w:p w:rsidR="00B239B7" w:rsidRDefault="00B239B7" w:rsidP="00B239B7">
      <w:pPr>
        <w:pStyle w:val="Paragraphedeliste"/>
        <w:numPr>
          <w:ilvl w:val="0"/>
          <w:numId w:val="34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70084F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Obligatoire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> : n° RPPS d’inscription à l’ordre des médecins</w:t>
      </w:r>
    </w:p>
    <w:p w:rsidR="00B239B7" w:rsidRPr="00B239B7" w:rsidRDefault="00B239B7" w:rsidP="00B239B7">
      <w:pPr>
        <w:pStyle w:val="Paragraphedeliste"/>
        <w:spacing w:after="200" w:line="276" w:lineRule="auto"/>
        <w:ind w:left="1440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:rsidR="00B239B7" w:rsidRDefault="00B239B7" w:rsidP="00B239B7">
      <w:pPr>
        <w:pStyle w:val="Paragraphedeliste"/>
        <w:numPr>
          <w:ilvl w:val="0"/>
          <w:numId w:val="33"/>
        </w:numPr>
        <w:spacing w:after="200" w:line="276" w:lineRule="auto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Report de prise de poste du candidat retenu</w:t>
      </w:r>
    </w:p>
    <w:p w:rsidR="00B239B7" w:rsidRPr="00B239B7" w:rsidRDefault="00B239B7" w:rsidP="00E92B80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B239B7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L’établissement de santé recruteur</w:t>
      </w:r>
      <w:r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 xml:space="preserve"> devra i</w:t>
      </w:r>
      <w:r w:rsidRPr="00B239B7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nformer immédiatement l’ARS</w:t>
      </w:r>
      <w:r w:rsidRPr="00B239B7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du motif de ce report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et donner une date de prise de poste, à défaut le financement ne sera pas délégué.</w:t>
      </w:r>
    </w:p>
    <w:p w:rsidR="004C4614" w:rsidRPr="005A47AA" w:rsidRDefault="004C4614" w:rsidP="00E92B80">
      <w:pPr>
        <w:jc w:val="both"/>
        <w:rPr>
          <w:rFonts w:ascii="Bookman Old Style" w:hAnsi="Bookman Old Style" w:cs="Arial"/>
          <w:i/>
          <w:sz w:val="22"/>
          <w:szCs w:val="22"/>
        </w:rPr>
      </w:pPr>
    </w:p>
    <w:p w:rsidR="004C4614" w:rsidRDefault="004C4614" w:rsidP="001E2FED">
      <w:pPr>
        <w:jc w:val="both"/>
        <w:rPr>
          <w:rFonts w:ascii="Bookman Old Style" w:hAnsi="Bookman Old Style" w:cs="Arial"/>
          <w:i/>
          <w:sz w:val="20"/>
          <w:szCs w:val="20"/>
        </w:rPr>
      </w:pPr>
    </w:p>
    <w:p w:rsidR="004C4614" w:rsidRDefault="004C4614" w:rsidP="001E2FED">
      <w:pPr>
        <w:jc w:val="both"/>
        <w:rPr>
          <w:rFonts w:ascii="Bookman Old Style" w:hAnsi="Bookman Old Style" w:cs="Arial"/>
          <w:i/>
          <w:sz w:val="20"/>
          <w:szCs w:val="20"/>
        </w:rPr>
      </w:pPr>
    </w:p>
    <w:p w:rsidR="004C4614" w:rsidRDefault="004C4614" w:rsidP="001E2FED">
      <w:pPr>
        <w:jc w:val="both"/>
        <w:rPr>
          <w:rFonts w:ascii="Bookman Old Style" w:hAnsi="Bookman Old Style" w:cs="Arial"/>
          <w:i/>
          <w:sz w:val="20"/>
          <w:szCs w:val="20"/>
        </w:rPr>
      </w:pPr>
    </w:p>
    <w:p w:rsidR="004C4614" w:rsidRDefault="004C4614" w:rsidP="001E2FED">
      <w:pPr>
        <w:jc w:val="both"/>
        <w:rPr>
          <w:rFonts w:ascii="Bookman Old Style" w:hAnsi="Bookman Old Style" w:cs="Arial"/>
          <w:i/>
          <w:sz w:val="20"/>
          <w:szCs w:val="20"/>
        </w:rPr>
      </w:pPr>
    </w:p>
    <w:sectPr w:rsidR="004C4614" w:rsidSect="009D2486">
      <w:footerReference w:type="default" r:id="rId10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5FC" w:rsidRDefault="00B925FC">
      <w:r>
        <w:separator/>
      </w:r>
    </w:p>
  </w:endnote>
  <w:endnote w:type="continuationSeparator" w:id="0">
    <w:p w:rsidR="00B925FC" w:rsidRDefault="00B9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51" w:rsidRDefault="002F1651" w:rsidP="009E2730">
    <w:pPr>
      <w:pStyle w:val="Pieddepage"/>
      <w:rPr>
        <w:rFonts w:ascii="Arial" w:hAnsi="Arial" w:cs="Arial"/>
        <w:snapToGrid w:val="0"/>
        <w:sz w:val="20"/>
        <w:szCs w:val="20"/>
      </w:rPr>
    </w:pPr>
  </w:p>
  <w:p w:rsidR="002F1651" w:rsidRDefault="002F1651" w:rsidP="009E2730">
    <w:pPr>
      <w:pStyle w:val="Pieddepage"/>
      <w:rPr>
        <w:rStyle w:val="Numrodepage"/>
        <w:rFonts w:ascii="Arial" w:hAnsi="Arial" w:cs="Arial"/>
        <w:sz w:val="20"/>
        <w:szCs w:val="20"/>
      </w:rPr>
    </w:pPr>
    <w:r w:rsidRPr="00C64F00">
      <w:rPr>
        <w:rFonts w:ascii="Arial" w:hAnsi="Arial" w:cs="Arial"/>
        <w:snapToGrid w:val="0"/>
        <w:sz w:val="20"/>
        <w:szCs w:val="20"/>
      </w:rPr>
      <w:tab/>
    </w:r>
    <w:r w:rsidRPr="00C64F00">
      <w:rPr>
        <w:rFonts w:ascii="Arial" w:hAnsi="Arial" w:cs="Arial"/>
        <w:snapToGrid w:val="0"/>
        <w:sz w:val="20"/>
        <w:szCs w:val="20"/>
      </w:rPr>
      <w:tab/>
    </w:r>
    <w:r w:rsidRPr="00C64F00">
      <w:rPr>
        <w:rStyle w:val="Numrodepage"/>
        <w:rFonts w:ascii="Arial" w:hAnsi="Arial" w:cs="Arial"/>
        <w:sz w:val="20"/>
        <w:szCs w:val="20"/>
      </w:rPr>
      <w:fldChar w:fldCharType="begin"/>
    </w:r>
    <w:r w:rsidRPr="00C64F00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C64F00">
      <w:rPr>
        <w:rStyle w:val="Numrodepage"/>
        <w:rFonts w:ascii="Arial" w:hAnsi="Arial" w:cs="Arial"/>
        <w:sz w:val="20"/>
        <w:szCs w:val="20"/>
      </w:rPr>
      <w:fldChar w:fldCharType="separate"/>
    </w:r>
    <w:r w:rsidR="00D11F84">
      <w:rPr>
        <w:rStyle w:val="Numrodepage"/>
        <w:rFonts w:ascii="Arial" w:hAnsi="Arial" w:cs="Arial"/>
        <w:noProof/>
        <w:sz w:val="20"/>
        <w:szCs w:val="20"/>
      </w:rPr>
      <w:t>7</w:t>
    </w:r>
    <w:r w:rsidRPr="00C64F00">
      <w:rPr>
        <w:rStyle w:val="Numrodepage"/>
        <w:rFonts w:ascii="Arial" w:hAnsi="Arial" w:cs="Arial"/>
        <w:sz w:val="20"/>
        <w:szCs w:val="20"/>
      </w:rPr>
      <w:fldChar w:fldCharType="end"/>
    </w:r>
    <w:r w:rsidRPr="00C64F00">
      <w:rPr>
        <w:rStyle w:val="Numrodepage"/>
        <w:rFonts w:ascii="Arial" w:hAnsi="Arial" w:cs="Arial"/>
        <w:sz w:val="20"/>
        <w:szCs w:val="20"/>
      </w:rPr>
      <w:t>/</w:t>
    </w:r>
    <w:r w:rsidRPr="00C64F00">
      <w:rPr>
        <w:rStyle w:val="Numrodepage"/>
        <w:rFonts w:ascii="Arial" w:hAnsi="Arial" w:cs="Arial"/>
        <w:sz w:val="20"/>
        <w:szCs w:val="20"/>
      </w:rPr>
      <w:fldChar w:fldCharType="begin"/>
    </w:r>
    <w:r w:rsidRPr="00C64F00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C64F00">
      <w:rPr>
        <w:rStyle w:val="Numrodepage"/>
        <w:rFonts w:ascii="Arial" w:hAnsi="Arial" w:cs="Arial"/>
        <w:sz w:val="20"/>
        <w:szCs w:val="20"/>
      </w:rPr>
      <w:fldChar w:fldCharType="separate"/>
    </w:r>
    <w:r w:rsidR="00D11F84">
      <w:rPr>
        <w:rStyle w:val="Numrodepage"/>
        <w:rFonts w:ascii="Arial" w:hAnsi="Arial" w:cs="Arial"/>
        <w:noProof/>
        <w:sz w:val="20"/>
        <w:szCs w:val="20"/>
      </w:rPr>
      <w:t>7</w:t>
    </w:r>
    <w:r w:rsidRPr="00C64F00">
      <w:rPr>
        <w:rStyle w:val="Numrodepage"/>
        <w:rFonts w:ascii="Arial" w:hAnsi="Arial" w:cs="Arial"/>
        <w:sz w:val="20"/>
        <w:szCs w:val="20"/>
      </w:rPr>
      <w:fldChar w:fldCharType="end"/>
    </w:r>
  </w:p>
  <w:p w:rsidR="002F1651" w:rsidRPr="00C64F00" w:rsidRDefault="002F1651" w:rsidP="009E2730">
    <w:pPr>
      <w:pStyle w:val="Pieddepage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5FC" w:rsidRDefault="00B925FC">
      <w:r>
        <w:separator/>
      </w:r>
    </w:p>
  </w:footnote>
  <w:footnote w:type="continuationSeparator" w:id="0">
    <w:p w:rsidR="00B925FC" w:rsidRDefault="00B92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884"/>
    <w:multiLevelType w:val="hybridMultilevel"/>
    <w:tmpl w:val="FFE21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219D5"/>
    <w:multiLevelType w:val="hybridMultilevel"/>
    <w:tmpl w:val="CE4014A2"/>
    <w:lvl w:ilvl="0" w:tplc="3E56EF9C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7574"/>
    <w:multiLevelType w:val="hybridMultilevel"/>
    <w:tmpl w:val="4CF01CE6"/>
    <w:lvl w:ilvl="0" w:tplc="1A9C27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3790"/>
    <w:multiLevelType w:val="hybridMultilevel"/>
    <w:tmpl w:val="C610F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B41D8"/>
    <w:multiLevelType w:val="hybridMultilevel"/>
    <w:tmpl w:val="DEFE49BC"/>
    <w:lvl w:ilvl="0" w:tplc="3D0C3F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A629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7EA9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8E9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A428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E92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22C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0E9F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F643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23532"/>
    <w:multiLevelType w:val="hybridMultilevel"/>
    <w:tmpl w:val="E9F4E7F0"/>
    <w:lvl w:ilvl="0" w:tplc="E2FEEBA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E6002"/>
    <w:multiLevelType w:val="hybridMultilevel"/>
    <w:tmpl w:val="DE82CBBA"/>
    <w:lvl w:ilvl="0" w:tplc="8D300DCC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96E4F"/>
    <w:multiLevelType w:val="hybridMultilevel"/>
    <w:tmpl w:val="E55E09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259B7"/>
    <w:multiLevelType w:val="hybridMultilevel"/>
    <w:tmpl w:val="282A4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E30CE"/>
    <w:multiLevelType w:val="hybridMultilevel"/>
    <w:tmpl w:val="E5D81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87B5E"/>
    <w:multiLevelType w:val="multilevel"/>
    <w:tmpl w:val="77BCC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" w15:restartNumberingAfterBreak="0">
    <w:nsid w:val="1D1F735C"/>
    <w:multiLevelType w:val="hybridMultilevel"/>
    <w:tmpl w:val="BE0C6C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92799"/>
    <w:multiLevelType w:val="hybridMultilevel"/>
    <w:tmpl w:val="C5106B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5263C"/>
    <w:multiLevelType w:val="multilevel"/>
    <w:tmpl w:val="F2182C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38247423"/>
    <w:multiLevelType w:val="hybridMultilevel"/>
    <w:tmpl w:val="60A65C2E"/>
    <w:lvl w:ilvl="0" w:tplc="8D300DCC"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8F010D"/>
    <w:multiLevelType w:val="multilevel"/>
    <w:tmpl w:val="11343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EAF0DAF"/>
    <w:multiLevelType w:val="hybridMultilevel"/>
    <w:tmpl w:val="3C4229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838DA"/>
    <w:multiLevelType w:val="hybridMultilevel"/>
    <w:tmpl w:val="975AFE5E"/>
    <w:lvl w:ilvl="0" w:tplc="ABC093E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54911"/>
    <w:multiLevelType w:val="hybridMultilevel"/>
    <w:tmpl w:val="049C5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33919"/>
    <w:multiLevelType w:val="hybridMultilevel"/>
    <w:tmpl w:val="E7BCC2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F341C"/>
    <w:multiLevelType w:val="hybridMultilevel"/>
    <w:tmpl w:val="9AF09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13D87"/>
    <w:multiLevelType w:val="hybridMultilevel"/>
    <w:tmpl w:val="CE86685C"/>
    <w:lvl w:ilvl="0" w:tplc="5876FC9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74EEB"/>
    <w:multiLevelType w:val="hybridMultilevel"/>
    <w:tmpl w:val="F28C83D6"/>
    <w:lvl w:ilvl="0" w:tplc="4E2C468C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D6885"/>
    <w:multiLevelType w:val="hybridMultilevel"/>
    <w:tmpl w:val="06089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808C1"/>
    <w:multiLevelType w:val="hybridMultilevel"/>
    <w:tmpl w:val="F2A0A79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608F3"/>
    <w:multiLevelType w:val="hybridMultilevel"/>
    <w:tmpl w:val="E19A8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93259"/>
    <w:multiLevelType w:val="hybridMultilevel"/>
    <w:tmpl w:val="2C424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779F5"/>
    <w:multiLevelType w:val="hybridMultilevel"/>
    <w:tmpl w:val="1EB0B610"/>
    <w:lvl w:ilvl="0" w:tplc="CF8A92EE">
      <w:start w:val="3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421CE"/>
    <w:multiLevelType w:val="hybridMultilevel"/>
    <w:tmpl w:val="90B2A494"/>
    <w:lvl w:ilvl="0" w:tplc="376A5E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B60C5"/>
    <w:multiLevelType w:val="multilevel"/>
    <w:tmpl w:val="5AB0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9A401DA"/>
    <w:multiLevelType w:val="hybridMultilevel"/>
    <w:tmpl w:val="DD2ED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12D01"/>
    <w:multiLevelType w:val="hybridMultilevel"/>
    <w:tmpl w:val="DCE0F926"/>
    <w:lvl w:ilvl="0" w:tplc="040C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2" w15:restartNumberingAfterBreak="0">
    <w:nsid w:val="6D35597B"/>
    <w:multiLevelType w:val="hybridMultilevel"/>
    <w:tmpl w:val="2806F2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B2C8C"/>
    <w:multiLevelType w:val="hybridMultilevel"/>
    <w:tmpl w:val="6DE0BF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C5B5E"/>
    <w:multiLevelType w:val="hybridMultilevel"/>
    <w:tmpl w:val="82D6C5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95BF9"/>
    <w:multiLevelType w:val="hybridMultilevel"/>
    <w:tmpl w:val="E82A46AE"/>
    <w:lvl w:ilvl="0" w:tplc="A4E200B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54BEA"/>
    <w:multiLevelType w:val="hybridMultilevel"/>
    <w:tmpl w:val="D8BAD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10"/>
  </w:num>
  <w:num w:numId="5">
    <w:abstractNumId w:val="11"/>
  </w:num>
  <w:num w:numId="6">
    <w:abstractNumId w:val="34"/>
  </w:num>
  <w:num w:numId="7">
    <w:abstractNumId w:val="21"/>
  </w:num>
  <w:num w:numId="8">
    <w:abstractNumId w:val="28"/>
  </w:num>
  <w:num w:numId="9">
    <w:abstractNumId w:val="24"/>
  </w:num>
  <w:num w:numId="10">
    <w:abstractNumId w:val="32"/>
  </w:num>
  <w:num w:numId="11">
    <w:abstractNumId w:val="15"/>
  </w:num>
  <w:num w:numId="12">
    <w:abstractNumId w:val="13"/>
  </w:num>
  <w:num w:numId="13">
    <w:abstractNumId w:val="7"/>
  </w:num>
  <w:num w:numId="14">
    <w:abstractNumId w:val="35"/>
  </w:num>
  <w:num w:numId="15">
    <w:abstractNumId w:val="5"/>
  </w:num>
  <w:num w:numId="16">
    <w:abstractNumId w:val="2"/>
  </w:num>
  <w:num w:numId="17">
    <w:abstractNumId w:val="27"/>
  </w:num>
  <w:num w:numId="18">
    <w:abstractNumId w:val="36"/>
  </w:num>
  <w:num w:numId="19">
    <w:abstractNumId w:val="8"/>
  </w:num>
  <w:num w:numId="20">
    <w:abstractNumId w:val="0"/>
  </w:num>
  <w:num w:numId="21">
    <w:abstractNumId w:val="26"/>
  </w:num>
  <w:num w:numId="22">
    <w:abstractNumId w:val="23"/>
  </w:num>
  <w:num w:numId="23">
    <w:abstractNumId w:val="9"/>
  </w:num>
  <w:num w:numId="24">
    <w:abstractNumId w:val="18"/>
  </w:num>
  <w:num w:numId="25">
    <w:abstractNumId w:val="20"/>
  </w:num>
  <w:num w:numId="26">
    <w:abstractNumId w:val="3"/>
  </w:num>
  <w:num w:numId="27">
    <w:abstractNumId w:val="25"/>
  </w:num>
  <w:num w:numId="28">
    <w:abstractNumId w:val="30"/>
  </w:num>
  <w:num w:numId="29">
    <w:abstractNumId w:val="29"/>
  </w:num>
  <w:num w:numId="30">
    <w:abstractNumId w:val="6"/>
  </w:num>
  <w:num w:numId="31">
    <w:abstractNumId w:val="22"/>
  </w:num>
  <w:num w:numId="32">
    <w:abstractNumId w:val="12"/>
  </w:num>
  <w:num w:numId="33">
    <w:abstractNumId w:val="33"/>
  </w:num>
  <w:num w:numId="34">
    <w:abstractNumId w:val="14"/>
  </w:num>
  <w:num w:numId="35">
    <w:abstractNumId w:val="16"/>
  </w:num>
  <w:num w:numId="36">
    <w:abstractNumId w:val="19"/>
  </w:num>
  <w:num w:numId="37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D5"/>
    <w:rsid w:val="00012E17"/>
    <w:rsid w:val="000136E0"/>
    <w:rsid w:val="000150C4"/>
    <w:rsid w:val="00015701"/>
    <w:rsid w:val="000221D1"/>
    <w:rsid w:val="000261F5"/>
    <w:rsid w:val="000279C7"/>
    <w:rsid w:val="00040817"/>
    <w:rsid w:val="000444EB"/>
    <w:rsid w:val="00045D41"/>
    <w:rsid w:val="00064312"/>
    <w:rsid w:val="00064F9E"/>
    <w:rsid w:val="00067CB1"/>
    <w:rsid w:val="000707F2"/>
    <w:rsid w:val="0008369F"/>
    <w:rsid w:val="00083ED4"/>
    <w:rsid w:val="00087439"/>
    <w:rsid w:val="000945D3"/>
    <w:rsid w:val="000946FE"/>
    <w:rsid w:val="00096596"/>
    <w:rsid w:val="000A3F93"/>
    <w:rsid w:val="000A6F1A"/>
    <w:rsid w:val="000A7D1D"/>
    <w:rsid w:val="000B146E"/>
    <w:rsid w:val="000B4BEB"/>
    <w:rsid w:val="000C3F0A"/>
    <w:rsid w:val="000C673C"/>
    <w:rsid w:val="000C7E58"/>
    <w:rsid w:val="000D0CAE"/>
    <w:rsid w:val="000D1137"/>
    <w:rsid w:val="000D2C4B"/>
    <w:rsid w:val="000D34EF"/>
    <w:rsid w:val="000E009D"/>
    <w:rsid w:val="000E42D2"/>
    <w:rsid w:val="000F1850"/>
    <w:rsid w:val="000F20FD"/>
    <w:rsid w:val="000F6D19"/>
    <w:rsid w:val="001002F2"/>
    <w:rsid w:val="00101BD4"/>
    <w:rsid w:val="00102F49"/>
    <w:rsid w:val="001107B2"/>
    <w:rsid w:val="0011201E"/>
    <w:rsid w:val="00112A9F"/>
    <w:rsid w:val="0011595B"/>
    <w:rsid w:val="00120B95"/>
    <w:rsid w:val="00125F97"/>
    <w:rsid w:val="001348A5"/>
    <w:rsid w:val="00136320"/>
    <w:rsid w:val="00141922"/>
    <w:rsid w:val="00142AB5"/>
    <w:rsid w:val="0015290D"/>
    <w:rsid w:val="00152F4C"/>
    <w:rsid w:val="00156128"/>
    <w:rsid w:val="00156F7F"/>
    <w:rsid w:val="0016168D"/>
    <w:rsid w:val="00161693"/>
    <w:rsid w:val="00164C00"/>
    <w:rsid w:val="00173FBD"/>
    <w:rsid w:val="00176C33"/>
    <w:rsid w:val="00180BC2"/>
    <w:rsid w:val="001865CF"/>
    <w:rsid w:val="00190A52"/>
    <w:rsid w:val="00193945"/>
    <w:rsid w:val="001A4D07"/>
    <w:rsid w:val="001B0F85"/>
    <w:rsid w:val="001B290C"/>
    <w:rsid w:val="001B4CCA"/>
    <w:rsid w:val="001C1AD7"/>
    <w:rsid w:val="001C4DDD"/>
    <w:rsid w:val="001D57E1"/>
    <w:rsid w:val="001E0358"/>
    <w:rsid w:val="001E06A5"/>
    <w:rsid w:val="001E2366"/>
    <w:rsid w:val="001E2FAA"/>
    <w:rsid w:val="001E2FED"/>
    <w:rsid w:val="001E5100"/>
    <w:rsid w:val="001E62E1"/>
    <w:rsid w:val="001F1E33"/>
    <w:rsid w:val="001F28FE"/>
    <w:rsid w:val="001F3115"/>
    <w:rsid w:val="001F428D"/>
    <w:rsid w:val="001F7F85"/>
    <w:rsid w:val="00203368"/>
    <w:rsid w:val="00204F33"/>
    <w:rsid w:val="00207256"/>
    <w:rsid w:val="00207B40"/>
    <w:rsid w:val="00210450"/>
    <w:rsid w:val="002112F2"/>
    <w:rsid w:val="00211C1D"/>
    <w:rsid w:val="00212770"/>
    <w:rsid w:val="002166FF"/>
    <w:rsid w:val="00217BB5"/>
    <w:rsid w:val="00225DB1"/>
    <w:rsid w:val="0022685C"/>
    <w:rsid w:val="00235848"/>
    <w:rsid w:val="00243286"/>
    <w:rsid w:val="00244506"/>
    <w:rsid w:val="00256C20"/>
    <w:rsid w:val="00261014"/>
    <w:rsid w:val="0026524A"/>
    <w:rsid w:val="002670F0"/>
    <w:rsid w:val="00270B4A"/>
    <w:rsid w:val="00270CBD"/>
    <w:rsid w:val="00273173"/>
    <w:rsid w:val="002748C9"/>
    <w:rsid w:val="002748FD"/>
    <w:rsid w:val="00283F07"/>
    <w:rsid w:val="0029496F"/>
    <w:rsid w:val="002A5664"/>
    <w:rsid w:val="002A5913"/>
    <w:rsid w:val="002B1502"/>
    <w:rsid w:val="002B2456"/>
    <w:rsid w:val="002B2DAD"/>
    <w:rsid w:val="002B4BA6"/>
    <w:rsid w:val="002C0975"/>
    <w:rsid w:val="002C1BC3"/>
    <w:rsid w:val="002C387B"/>
    <w:rsid w:val="002C500C"/>
    <w:rsid w:val="002C531B"/>
    <w:rsid w:val="002E317D"/>
    <w:rsid w:val="002F0B74"/>
    <w:rsid w:val="002F1651"/>
    <w:rsid w:val="002F2855"/>
    <w:rsid w:val="002F3631"/>
    <w:rsid w:val="002F5D8B"/>
    <w:rsid w:val="002F6AA0"/>
    <w:rsid w:val="00301168"/>
    <w:rsid w:val="00306CD6"/>
    <w:rsid w:val="00311403"/>
    <w:rsid w:val="0031455D"/>
    <w:rsid w:val="00316615"/>
    <w:rsid w:val="00320449"/>
    <w:rsid w:val="00320D96"/>
    <w:rsid w:val="00321C69"/>
    <w:rsid w:val="00323FFF"/>
    <w:rsid w:val="00324513"/>
    <w:rsid w:val="00326821"/>
    <w:rsid w:val="00330985"/>
    <w:rsid w:val="003416D9"/>
    <w:rsid w:val="00344CF1"/>
    <w:rsid w:val="00346101"/>
    <w:rsid w:val="00350711"/>
    <w:rsid w:val="003577A4"/>
    <w:rsid w:val="00362873"/>
    <w:rsid w:val="00365226"/>
    <w:rsid w:val="00367531"/>
    <w:rsid w:val="00372C84"/>
    <w:rsid w:val="003820B2"/>
    <w:rsid w:val="00383F1D"/>
    <w:rsid w:val="003A2665"/>
    <w:rsid w:val="003B72D4"/>
    <w:rsid w:val="003C0A68"/>
    <w:rsid w:val="003C5D2E"/>
    <w:rsid w:val="003D2950"/>
    <w:rsid w:val="003D3821"/>
    <w:rsid w:val="003D4D72"/>
    <w:rsid w:val="003D6267"/>
    <w:rsid w:val="003E2EE0"/>
    <w:rsid w:val="003E65CD"/>
    <w:rsid w:val="003E6F0C"/>
    <w:rsid w:val="003E75BE"/>
    <w:rsid w:val="003F6082"/>
    <w:rsid w:val="0040113D"/>
    <w:rsid w:val="0040308C"/>
    <w:rsid w:val="00406F3D"/>
    <w:rsid w:val="00410B43"/>
    <w:rsid w:val="00411268"/>
    <w:rsid w:val="004125E2"/>
    <w:rsid w:val="00416A00"/>
    <w:rsid w:val="00421FD4"/>
    <w:rsid w:val="00425355"/>
    <w:rsid w:val="00433013"/>
    <w:rsid w:val="00435C64"/>
    <w:rsid w:val="0043792B"/>
    <w:rsid w:val="00442792"/>
    <w:rsid w:val="004450B4"/>
    <w:rsid w:val="0044610D"/>
    <w:rsid w:val="00446E09"/>
    <w:rsid w:val="004508CF"/>
    <w:rsid w:val="004515FA"/>
    <w:rsid w:val="00453E34"/>
    <w:rsid w:val="0045647C"/>
    <w:rsid w:val="00474297"/>
    <w:rsid w:val="0048176B"/>
    <w:rsid w:val="00481A82"/>
    <w:rsid w:val="00482DB4"/>
    <w:rsid w:val="00490710"/>
    <w:rsid w:val="00493B22"/>
    <w:rsid w:val="004952CD"/>
    <w:rsid w:val="00495522"/>
    <w:rsid w:val="004A3593"/>
    <w:rsid w:val="004A366D"/>
    <w:rsid w:val="004A6911"/>
    <w:rsid w:val="004A7B3F"/>
    <w:rsid w:val="004B3074"/>
    <w:rsid w:val="004B5E34"/>
    <w:rsid w:val="004B7082"/>
    <w:rsid w:val="004C2D92"/>
    <w:rsid w:val="004C3CA2"/>
    <w:rsid w:val="004C4614"/>
    <w:rsid w:val="004C5AE5"/>
    <w:rsid w:val="004C6C6B"/>
    <w:rsid w:val="004D2D4A"/>
    <w:rsid w:val="004D6257"/>
    <w:rsid w:val="004D679D"/>
    <w:rsid w:val="004E0ED6"/>
    <w:rsid w:val="004E1ABD"/>
    <w:rsid w:val="004E3B0F"/>
    <w:rsid w:val="004E46A2"/>
    <w:rsid w:val="004E552B"/>
    <w:rsid w:val="004E583D"/>
    <w:rsid w:val="004F0765"/>
    <w:rsid w:val="004F37B4"/>
    <w:rsid w:val="00500610"/>
    <w:rsid w:val="00503FEE"/>
    <w:rsid w:val="005057D5"/>
    <w:rsid w:val="00513DAE"/>
    <w:rsid w:val="005224B6"/>
    <w:rsid w:val="00524686"/>
    <w:rsid w:val="0053164A"/>
    <w:rsid w:val="0053256D"/>
    <w:rsid w:val="00534A30"/>
    <w:rsid w:val="00534F65"/>
    <w:rsid w:val="00552931"/>
    <w:rsid w:val="005624CC"/>
    <w:rsid w:val="00566485"/>
    <w:rsid w:val="00573BF0"/>
    <w:rsid w:val="005745AE"/>
    <w:rsid w:val="00575F12"/>
    <w:rsid w:val="00580212"/>
    <w:rsid w:val="005825BF"/>
    <w:rsid w:val="005866F9"/>
    <w:rsid w:val="00590BDA"/>
    <w:rsid w:val="0059597B"/>
    <w:rsid w:val="00596A51"/>
    <w:rsid w:val="00597212"/>
    <w:rsid w:val="00597871"/>
    <w:rsid w:val="005A47AA"/>
    <w:rsid w:val="005A530F"/>
    <w:rsid w:val="005A72CD"/>
    <w:rsid w:val="005A7C01"/>
    <w:rsid w:val="005A7CEB"/>
    <w:rsid w:val="005B5F25"/>
    <w:rsid w:val="005B6B5F"/>
    <w:rsid w:val="005C6C1D"/>
    <w:rsid w:val="005D49BF"/>
    <w:rsid w:val="005D62EC"/>
    <w:rsid w:val="005E36FC"/>
    <w:rsid w:val="005E6F02"/>
    <w:rsid w:val="005F152E"/>
    <w:rsid w:val="005F78FB"/>
    <w:rsid w:val="00602179"/>
    <w:rsid w:val="00612270"/>
    <w:rsid w:val="0061650E"/>
    <w:rsid w:val="00616A3D"/>
    <w:rsid w:val="00616EC2"/>
    <w:rsid w:val="00617116"/>
    <w:rsid w:val="00630E46"/>
    <w:rsid w:val="006314FA"/>
    <w:rsid w:val="006327BC"/>
    <w:rsid w:val="006345DF"/>
    <w:rsid w:val="00640FB1"/>
    <w:rsid w:val="00657886"/>
    <w:rsid w:val="006622DD"/>
    <w:rsid w:val="006651D0"/>
    <w:rsid w:val="00665E2F"/>
    <w:rsid w:val="00667F7F"/>
    <w:rsid w:val="006733FA"/>
    <w:rsid w:val="0067494B"/>
    <w:rsid w:val="00676A5A"/>
    <w:rsid w:val="00680476"/>
    <w:rsid w:val="00685F84"/>
    <w:rsid w:val="0068674A"/>
    <w:rsid w:val="00686C77"/>
    <w:rsid w:val="006915ED"/>
    <w:rsid w:val="00695192"/>
    <w:rsid w:val="00695FD5"/>
    <w:rsid w:val="006A2F83"/>
    <w:rsid w:val="006A409F"/>
    <w:rsid w:val="006A508C"/>
    <w:rsid w:val="006A66CB"/>
    <w:rsid w:val="006B3763"/>
    <w:rsid w:val="006B539F"/>
    <w:rsid w:val="006B7D4E"/>
    <w:rsid w:val="006C6E55"/>
    <w:rsid w:val="006C6FCC"/>
    <w:rsid w:val="006D5757"/>
    <w:rsid w:val="006D68BC"/>
    <w:rsid w:val="006D7F59"/>
    <w:rsid w:val="006E0082"/>
    <w:rsid w:val="006E12F2"/>
    <w:rsid w:val="006E1435"/>
    <w:rsid w:val="006E6229"/>
    <w:rsid w:val="006F0563"/>
    <w:rsid w:val="006F3AF8"/>
    <w:rsid w:val="0070084F"/>
    <w:rsid w:val="00700E20"/>
    <w:rsid w:val="007066F5"/>
    <w:rsid w:val="007070C6"/>
    <w:rsid w:val="0070721A"/>
    <w:rsid w:val="007077CB"/>
    <w:rsid w:val="007107AA"/>
    <w:rsid w:val="007113B6"/>
    <w:rsid w:val="00713803"/>
    <w:rsid w:val="00715936"/>
    <w:rsid w:val="00723321"/>
    <w:rsid w:val="00727E0A"/>
    <w:rsid w:val="00732768"/>
    <w:rsid w:val="007375BB"/>
    <w:rsid w:val="00753269"/>
    <w:rsid w:val="0076410E"/>
    <w:rsid w:val="007642C2"/>
    <w:rsid w:val="007661B4"/>
    <w:rsid w:val="00787C24"/>
    <w:rsid w:val="00796065"/>
    <w:rsid w:val="00796C8D"/>
    <w:rsid w:val="007A2E23"/>
    <w:rsid w:val="007A44DD"/>
    <w:rsid w:val="007A5997"/>
    <w:rsid w:val="007B04A0"/>
    <w:rsid w:val="007C25F6"/>
    <w:rsid w:val="007C5666"/>
    <w:rsid w:val="007C5CBA"/>
    <w:rsid w:val="007D2FFD"/>
    <w:rsid w:val="007D3446"/>
    <w:rsid w:val="007D42A6"/>
    <w:rsid w:val="007E50C4"/>
    <w:rsid w:val="007E6080"/>
    <w:rsid w:val="007E62E7"/>
    <w:rsid w:val="00800D4E"/>
    <w:rsid w:val="008018D9"/>
    <w:rsid w:val="00803C0C"/>
    <w:rsid w:val="0080621B"/>
    <w:rsid w:val="0081462F"/>
    <w:rsid w:val="008164DD"/>
    <w:rsid w:val="008165F1"/>
    <w:rsid w:val="0082211E"/>
    <w:rsid w:val="00831760"/>
    <w:rsid w:val="008343F3"/>
    <w:rsid w:val="00835881"/>
    <w:rsid w:val="0084706E"/>
    <w:rsid w:val="00854E07"/>
    <w:rsid w:val="00857FE5"/>
    <w:rsid w:val="00860C80"/>
    <w:rsid w:val="00866A84"/>
    <w:rsid w:val="00874726"/>
    <w:rsid w:val="00876C02"/>
    <w:rsid w:val="008772F0"/>
    <w:rsid w:val="0087746C"/>
    <w:rsid w:val="00877CCF"/>
    <w:rsid w:val="00881126"/>
    <w:rsid w:val="008844F2"/>
    <w:rsid w:val="00884594"/>
    <w:rsid w:val="00890F9D"/>
    <w:rsid w:val="008928CD"/>
    <w:rsid w:val="0089314F"/>
    <w:rsid w:val="00894966"/>
    <w:rsid w:val="00895BC5"/>
    <w:rsid w:val="008A1A96"/>
    <w:rsid w:val="008A210D"/>
    <w:rsid w:val="008A69E3"/>
    <w:rsid w:val="008B0A40"/>
    <w:rsid w:val="008B2CAB"/>
    <w:rsid w:val="008C1271"/>
    <w:rsid w:val="008C1D8A"/>
    <w:rsid w:val="008C4072"/>
    <w:rsid w:val="008C7FD5"/>
    <w:rsid w:val="008D34BE"/>
    <w:rsid w:val="008E045B"/>
    <w:rsid w:val="008E08A5"/>
    <w:rsid w:val="008E4525"/>
    <w:rsid w:val="008E7324"/>
    <w:rsid w:val="008E78A6"/>
    <w:rsid w:val="008F0F20"/>
    <w:rsid w:val="008F35CB"/>
    <w:rsid w:val="008F57B5"/>
    <w:rsid w:val="009004E0"/>
    <w:rsid w:val="00901AED"/>
    <w:rsid w:val="00901BB0"/>
    <w:rsid w:val="00910783"/>
    <w:rsid w:val="009209D9"/>
    <w:rsid w:val="00922A2F"/>
    <w:rsid w:val="00934261"/>
    <w:rsid w:val="009421F4"/>
    <w:rsid w:val="00945299"/>
    <w:rsid w:val="00950F6A"/>
    <w:rsid w:val="00955D8A"/>
    <w:rsid w:val="009560A3"/>
    <w:rsid w:val="009567E0"/>
    <w:rsid w:val="00957537"/>
    <w:rsid w:val="00960693"/>
    <w:rsid w:val="009609F3"/>
    <w:rsid w:val="00962355"/>
    <w:rsid w:val="00964958"/>
    <w:rsid w:val="009651DD"/>
    <w:rsid w:val="009710A1"/>
    <w:rsid w:val="00976634"/>
    <w:rsid w:val="009816C9"/>
    <w:rsid w:val="00983E31"/>
    <w:rsid w:val="009840E9"/>
    <w:rsid w:val="009844AC"/>
    <w:rsid w:val="0098520E"/>
    <w:rsid w:val="00985BB3"/>
    <w:rsid w:val="00990FB0"/>
    <w:rsid w:val="009934D5"/>
    <w:rsid w:val="0099505B"/>
    <w:rsid w:val="009A26F1"/>
    <w:rsid w:val="009A369C"/>
    <w:rsid w:val="009B2545"/>
    <w:rsid w:val="009C3478"/>
    <w:rsid w:val="009C4956"/>
    <w:rsid w:val="009C5169"/>
    <w:rsid w:val="009D1456"/>
    <w:rsid w:val="009D2486"/>
    <w:rsid w:val="009D6C03"/>
    <w:rsid w:val="009E2730"/>
    <w:rsid w:val="009E666A"/>
    <w:rsid w:val="009F07C4"/>
    <w:rsid w:val="00A02A75"/>
    <w:rsid w:val="00A06EDF"/>
    <w:rsid w:val="00A07F7C"/>
    <w:rsid w:val="00A10F97"/>
    <w:rsid w:val="00A13B4C"/>
    <w:rsid w:val="00A16A5D"/>
    <w:rsid w:val="00A224BA"/>
    <w:rsid w:val="00A245C5"/>
    <w:rsid w:val="00A249A6"/>
    <w:rsid w:val="00A24EB5"/>
    <w:rsid w:val="00A26137"/>
    <w:rsid w:val="00A27CA9"/>
    <w:rsid w:val="00A31DEF"/>
    <w:rsid w:val="00A32400"/>
    <w:rsid w:val="00A43585"/>
    <w:rsid w:val="00A44BA8"/>
    <w:rsid w:val="00A44CD7"/>
    <w:rsid w:val="00A47895"/>
    <w:rsid w:val="00A62E89"/>
    <w:rsid w:val="00A648CE"/>
    <w:rsid w:val="00A66452"/>
    <w:rsid w:val="00A66606"/>
    <w:rsid w:val="00A66969"/>
    <w:rsid w:val="00A66DD7"/>
    <w:rsid w:val="00A70428"/>
    <w:rsid w:val="00A71561"/>
    <w:rsid w:val="00A71C28"/>
    <w:rsid w:val="00A7796A"/>
    <w:rsid w:val="00A90EA5"/>
    <w:rsid w:val="00A91CD8"/>
    <w:rsid w:val="00A91F30"/>
    <w:rsid w:val="00A961DD"/>
    <w:rsid w:val="00A97BB9"/>
    <w:rsid w:val="00AA4D3C"/>
    <w:rsid w:val="00AB4015"/>
    <w:rsid w:val="00AB41A9"/>
    <w:rsid w:val="00AB442F"/>
    <w:rsid w:val="00AC27F1"/>
    <w:rsid w:val="00AC5EA2"/>
    <w:rsid w:val="00AC6737"/>
    <w:rsid w:val="00AD6070"/>
    <w:rsid w:val="00AE56CB"/>
    <w:rsid w:val="00AE5A20"/>
    <w:rsid w:val="00AF1016"/>
    <w:rsid w:val="00AF36FB"/>
    <w:rsid w:val="00B00BFA"/>
    <w:rsid w:val="00B00E2E"/>
    <w:rsid w:val="00B0149C"/>
    <w:rsid w:val="00B024DE"/>
    <w:rsid w:val="00B059D5"/>
    <w:rsid w:val="00B113BE"/>
    <w:rsid w:val="00B14256"/>
    <w:rsid w:val="00B17CBF"/>
    <w:rsid w:val="00B239B7"/>
    <w:rsid w:val="00B259AF"/>
    <w:rsid w:val="00B30CB8"/>
    <w:rsid w:val="00B318C3"/>
    <w:rsid w:val="00B330AC"/>
    <w:rsid w:val="00B37864"/>
    <w:rsid w:val="00B41179"/>
    <w:rsid w:val="00B4206A"/>
    <w:rsid w:val="00B50332"/>
    <w:rsid w:val="00B50B50"/>
    <w:rsid w:val="00B5399C"/>
    <w:rsid w:val="00B61BA5"/>
    <w:rsid w:val="00B644B4"/>
    <w:rsid w:val="00B77C60"/>
    <w:rsid w:val="00B8583E"/>
    <w:rsid w:val="00B85F31"/>
    <w:rsid w:val="00B878E2"/>
    <w:rsid w:val="00B925FC"/>
    <w:rsid w:val="00BA2581"/>
    <w:rsid w:val="00BA2996"/>
    <w:rsid w:val="00BA4E1D"/>
    <w:rsid w:val="00BB04BE"/>
    <w:rsid w:val="00BB2F8A"/>
    <w:rsid w:val="00BB6A3F"/>
    <w:rsid w:val="00BC1BAA"/>
    <w:rsid w:val="00BC343F"/>
    <w:rsid w:val="00BC3480"/>
    <w:rsid w:val="00BC5EE6"/>
    <w:rsid w:val="00BD52F3"/>
    <w:rsid w:val="00BD6FC8"/>
    <w:rsid w:val="00BE5F4A"/>
    <w:rsid w:val="00BF0616"/>
    <w:rsid w:val="00BF0D72"/>
    <w:rsid w:val="00BF2DD5"/>
    <w:rsid w:val="00BF4B84"/>
    <w:rsid w:val="00BF4C12"/>
    <w:rsid w:val="00BF6A1B"/>
    <w:rsid w:val="00C148CA"/>
    <w:rsid w:val="00C1668A"/>
    <w:rsid w:val="00C20F24"/>
    <w:rsid w:val="00C260A7"/>
    <w:rsid w:val="00C30577"/>
    <w:rsid w:val="00C4375E"/>
    <w:rsid w:val="00C4691E"/>
    <w:rsid w:val="00C477B9"/>
    <w:rsid w:val="00C50686"/>
    <w:rsid w:val="00C545A9"/>
    <w:rsid w:val="00C5573B"/>
    <w:rsid w:val="00C563B8"/>
    <w:rsid w:val="00C61024"/>
    <w:rsid w:val="00C63017"/>
    <w:rsid w:val="00C64F00"/>
    <w:rsid w:val="00C655F1"/>
    <w:rsid w:val="00C660F5"/>
    <w:rsid w:val="00C71075"/>
    <w:rsid w:val="00C726A4"/>
    <w:rsid w:val="00C7499F"/>
    <w:rsid w:val="00C8226F"/>
    <w:rsid w:val="00C86394"/>
    <w:rsid w:val="00C946AA"/>
    <w:rsid w:val="00C95182"/>
    <w:rsid w:val="00C95AA1"/>
    <w:rsid w:val="00C9721A"/>
    <w:rsid w:val="00CA02DB"/>
    <w:rsid w:val="00CA2492"/>
    <w:rsid w:val="00CB1074"/>
    <w:rsid w:val="00CB3F3F"/>
    <w:rsid w:val="00CB45A5"/>
    <w:rsid w:val="00CB61A8"/>
    <w:rsid w:val="00CB7C33"/>
    <w:rsid w:val="00CC2B04"/>
    <w:rsid w:val="00CC2E53"/>
    <w:rsid w:val="00CC309C"/>
    <w:rsid w:val="00CC7D4E"/>
    <w:rsid w:val="00CD138E"/>
    <w:rsid w:val="00CD3765"/>
    <w:rsid w:val="00CD3A19"/>
    <w:rsid w:val="00CD3BD7"/>
    <w:rsid w:val="00CD53F1"/>
    <w:rsid w:val="00CE0CEC"/>
    <w:rsid w:val="00CE20B8"/>
    <w:rsid w:val="00CE3515"/>
    <w:rsid w:val="00CE541E"/>
    <w:rsid w:val="00CE59C8"/>
    <w:rsid w:val="00CF08D4"/>
    <w:rsid w:val="00CF1737"/>
    <w:rsid w:val="00CF43B3"/>
    <w:rsid w:val="00D00807"/>
    <w:rsid w:val="00D00F34"/>
    <w:rsid w:val="00D01A9B"/>
    <w:rsid w:val="00D05F98"/>
    <w:rsid w:val="00D10024"/>
    <w:rsid w:val="00D11F84"/>
    <w:rsid w:val="00D13EF3"/>
    <w:rsid w:val="00D206EA"/>
    <w:rsid w:val="00D212ED"/>
    <w:rsid w:val="00D25A05"/>
    <w:rsid w:val="00D32075"/>
    <w:rsid w:val="00D34EE2"/>
    <w:rsid w:val="00D41D20"/>
    <w:rsid w:val="00D4343F"/>
    <w:rsid w:val="00D50AFA"/>
    <w:rsid w:val="00D514E0"/>
    <w:rsid w:val="00D57AAB"/>
    <w:rsid w:val="00D6488C"/>
    <w:rsid w:val="00D7155C"/>
    <w:rsid w:val="00D74077"/>
    <w:rsid w:val="00D749E2"/>
    <w:rsid w:val="00D8058E"/>
    <w:rsid w:val="00D83566"/>
    <w:rsid w:val="00D838EE"/>
    <w:rsid w:val="00D84D89"/>
    <w:rsid w:val="00D85392"/>
    <w:rsid w:val="00D927ED"/>
    <w:rsid w:val="00DA063E"/>
    <w:rsid w:val="00DA50BC"/>
    <w:rsid w:val="00DB162A"/>
    <w:rsid w:val="00DC0F41"/>
    <w:rsid w:val="00DC1868"/>
    <w:rsid w:val="00DC5130"/>
    <w:rsid w:val="00DD3317"/>
    <w:rsid w:val="00DD4871"/>
    <w:rsid w:val="00DD6C3F"/>
    <w:rsid w:val="00DF381F"/>
    <w:rsid w:val="00DF467C"/>
    <w:rsid w:val="00DF5028"/>
    <w:rsid w:val="00DF5B77"/>
    <w:rsid w:val="00DF5CA4"/>
    <w:rsid w:val="00E01A77"/>
    <w:rsid w:val="00E01C84"/>
    <w:rsid w:val="00E137F3"/>
    <w:rsid w:val="00E15940"/>
    <w:rsid w:val="00E15D72"/>
    <w:rsid w:val="00E163F2"/>
    <w:rsid w:val="00E17147"/>
    <w:rsid w:val="00E32967"/>
    <w:rsid w:val="00E45209"/>
    <w:rsid w:val="00E5022A"/>
    <w:rsid w:val="00E53CD3"/>
    <w:rsid w:val="00E54C85"/>
    <w:rsid w:val="00E665EF"/>
    <w:rsid w:val="00E705F2"/>
    <w:rsid w:val="00E9009F"/>
    <w:rsid w:val="00E92B80"/>
    <w:rsid w:val="00E96B50"/>
    <w:rsid w:val="00EA344F"/>
    <w:rsid w:val="00EA4ABF"/>
    <w:rsid w:val="00EA62FB"/>
    <w:rsid w:val="00EB2EAF"/>
    <w:rsid w:val="00EB3400"/>
    <w:rsid w:val="00EB65A8"/>
    <w:rsid w:val="00EB76BD"/>
    <w:rsid w:val="00EC0521"/>
    <w:rsid w:val="00EC1D6F"/>
    <w:rsid w:val="00EC1FCD"/>
    <w:rsid w:val="00EC3D53"/>
    <w:rsid w:val="00ED0556"/>
    <w:rsid w:val="00ED74BC"/>
    <w:rsid w:val="00EE3788"/>
    <w:rsid w:val="00EE76F9"/>
    <w:rsid w:val="00EF13E7"/>
    <w:rsid w:val="00EF4285"/>
    <w:rsid w:val="00F01704"/>
    <w:rsid w:val="00F01822"/>
    <w:rsid w:val="00F0662C"/>
    <w:rsid w:val="00F1054A"/>
    <w:rsid w:val="00F12244"/>
    <w:rsid w:val="00F15048"/>
    <w:rsid w:val="00F208EF"/>
    <w:rsid w:val="00F24F77"/>
    <w:rsid w:val="00F30376"/>
    <w:rsid w:val="00F32860"/>
    <w:rsid w:val="00F33B3D"/>
    <w:rsid w:val="00F34CCC"/>
    <w:rsid w:val="00F40189"/>
    <w:rsid w:val="00F455AF"/>
    <w:rsid w:val="00F470CE"/>
    <w:rsid w:val="00F51275"/>
    <w:rsid w:val="00F51463"/>
    <w:rsid w:val="00F51B1A"/>
    <w:rsid w:val="00F52363"/>
    <w:rsid w:val="00F5486D"/>
    <w:rsid w:val="00F61DD9"/>
    <w:rsid w:val="00F70F5F"/>
    <w:rsid w:val="00F717D4"/>
    <w:rsid w:val="00F75558"/>
    <w:rsid w:val="00F77F02"/>
    <w:rsid w:val="00F80392"/>
    <w:rsid w:val="00F80E67"/>
    <w:rsid w:val="00F8301E"/>
    <w:rsid w:val="00F83B89"/>
    <w:rsid w:val="00F85A8C"/>
    <w:rsid w:val="00F86E2C"/>
    <w:rsid w:val="00F91764"/>
    <w:rsid w:val="00F95115"/>
    <w:rsid w:val="00F97806"/>
    <w:rsid w:val="00FA04B5"/>
    <w:rsid w:val="00FA4542"/>
    <w:rsid w:val="00FA4BB3"/>
    <w:rsid w:val="00FA6477"/>
    <w:rsid w:val="00FA68E2"/>
    <w:rsid w:val="00FB1396"/>
    <w:rsid w:val="00FB51EB"/>
    <w:rsid w:val="00FC0E73"/>
    <w:rsid w:val="00FC148A"/>
    <w:rsid w:val="00FC4BCE"/>
    <w:rsid w:val="00FC78C3"/>
    <w:rsid w:val="00FD0BE6"/>
    <w:rsid w:val="00FD5737"/>
    <w:rsid w:val="00FD5CA4"/>
    <w:rsid w:val="00FD76B2"/>
    <w:rsid w:val="00FD7D70"/>
    <w:rsid w:val="00FE4E3F"/>
    <w:rsid w:val="00FF350F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D118C8-0E18-47BD-B9C4-209B75C4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6A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C1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aliases w:val="En-tête1,E.e"/>
    <w:basedOn w:val="Normal"/>
    <w:rsid w:val="0048176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8176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8176B"/>
  </w:style>
  <w:style w:type="paragraph" w:styleId="NormalWeb">
    <w:name w:val="Normal (Web)"/>
    <w:basedOn w:val="Normal"/>
    <w:uiPriority w:val="99"/>
    <w:rsid w:val="0043792B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D835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07F7C"/>
    <w:pPr>
      <w:ind w:left="720"/>
      <w:contextualSpacing/>
    </w:pPr>
  </w:style>
  <w:style w:type="character" w:styleId="Lienhypertexte">
    <w:name w:val="Hyperlink"/>
    <w:basedOn w:val="Policepardfaut"/>
    <w:rsid w:val="00590BDA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rsid w:val="00597212"/>
    <w:rPr>
      <w:sz w:val="16"/>
      <w:szCs w:val="16"/>
    </w:rPr>
  </w:style>
  <w:style w:type="paragraph" w:styleId="Commentaire">
    <w:name w:val="annotation text"/>
    <w:basedOn w:val="Normal"/>
    <w:link w:val="CommentaireCar"/>
    <w:rsid w:val="0059721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97212"/>
  </w:style>
  <w:style w:type="paragraph" w:styleId="Objetducommentaire">
    <w:name w:val="annotation subject"/>
    <w:basedOn w:val="Commentaire"/>
    <w:next w:val="Commentaire"/>
    <w:link w:val="ObjetducommentaireCar"/>
    <w:rsid w:val="005972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97212"/>
    <w:rPr>
      <w:b/>
      <w:bCs/>
    </w:rPr>
  </w:style>
  <w:style w:type="character" w:styleId="lev">
    <w:name w:val="Strong"/>
    <w:basedOn w:val="Policepardfaut"/>
    <w:uiPriority w:val="22"/>
    <w:qFormat/>
    <w:rsid w:val="00064312"/>
    <w:rPr>
      <w:b/>
      <w:bCs/>
    </w:rPr>
  </w:style>
  <w:style w:type="table" w:styleId="Colonnesdetableau5">
    <w:name w:val="Table Columns 5"/>
    <w:basedOn w:val="TableauNormal"/>
    <w:rsid w:val="009D248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116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ca.ars.sante.fr/400-medecins-generalistes-recrutes-pour-renforcer-lacces-aux-soi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emarches-simplifiees.fr/commencer/appel-a-candidatures-assistants-specialistes-a-te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1880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Administrateur</dc:creator>
  <cp:lastModifiedBy>MROIVILI, Ramata (ARS-PACA/DSPE/DPPS)</cp:lastModifiedBy>
  <cp:revision>12</cp:revision>
  <cp:lastPrinted>2023-02-10T15:40:00Z</cp:lastPrinted>
  <dcterms:created xsi:type="dcterms:W3CDTF">2024-02-19T14:07:00Z</dcterms:created>
  <dcterms:modified xsi:type="dcterms:W3CDTF">2024-02-20T08:46:00Z</dcterms:modified>
</cp:coreProperties>
</file>