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4F" w:rsidRDefault="00583A78" w:rsidP="00583A78">
      <w:pPr>
        <w:jc w:val="center"/>
        <w:rPr>
          <w:rFonts w:cs="Arial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1798320</wp:posOffset>
            </wp:positionH>
            <wp:positionV relativeFrom="paragraph">
              <wp:posOffset>-319405</wp:posOffset>
            </wp:positionV>
            <wp:extent cx="1944370" cy="1263650"/>
            <wp:effectExtent l="19050" t="0" r="0" b="0"/>
            <wp:wrapTight wrapText="bothSides">
              <wp:wrapPolygon edited="0">
                <wp:start x="-212" y="0"/>
                <wp:lineTo x="-212" y="21166"/>
                <wp:lineTo x="21586" y="21166"/>
                <wp:lineTo x="21586" y="0"/>
                <wp:lineTo x="-212" y="0"/>
              </wp:wrapPolygon>
            </wp:wrapTight>
            <wp:docPr id="3" name="Image 3" descr="arsP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Pa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A78" w:rsidRDefault="00583A78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31054F" w:rsidRDefault="0031054F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007663" w:rsidRPr="00542179" w:rsidRDefault="00007663" w:rsidP="0031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</w:rPr>
      </w:pPr>
      <w:r w:rsidRPr="00542179">
        <w:rPr>
          <w:b/>
          <w:color w:val="FF0000"/>
          <w:sz w:val="22"/>
        </w:rPr>
        <w:t>R</w:t>
      </w:r>
      <w:r w:rsidR="0031054F" w:rsidRPr="00542179">
        <w:rPr>
          <w:b/>
          <w:color w:val="FF0000"/>
          <w:sz w:val="22"/>
        </w:rPr>
        <w:t>apport d’évalu</w:t>
      </w:r>
      <w:r w:rsidRPr="00542179">
        <w:rPr>
          <w:b/>
          <w:color w:val="FF0000"/>
          <w:sz w:val="22"/>
        </w:rPr>
        <w:t>ation socio-économique</w:t>
      </w:r>
    </w:p>
    <w:p w:rsidR="00C7562E" w:rsidRPr="00542179" w:rsidRDefault="00542179" w:rsidP="0031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</w:rPr>
      </w:pPr>
      <w:r w:rsidRPr="00542179">
        <w:rPr>
          <w:b/>
          <w:color w:val="FF0000"/>
          <w:sz w:val="22"/>
        </w:rPr>
        <w:t>Schéma Régional d’Investissement en Santé</w:t>
      </w:r>
    </w:p>
    <w:p w:rsidR="0031054F" w:rsidRDefault="0031054F" w:rsidP="0031054F"/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1054F" w:rsidTr="0031054F">
        <w:tc>
          <w:tcPr>
            <w:tcW w:w="9288" w:type="dxa"/>
          </w:tcPr>
          <w:p w:rsidR="0031054F" w:rsidRDefault="0031054F" w:rsidP="0031054F"/>
          <w:p w:rsidR="0031054F" w:rsidRDefault="0031054F" w:rsidP="0031054F">
            <w:r w:rsidRPr="007D5491">
              <w:t>Nom de l’établissement</w:t>
            </w:r>
            <w:r>
              <w:t xml:space="preserve"> porteur du projet</w:t>
            </w:r>
            <w:r w:rsidRPr="007D5491">
              <w:t xml:space="preserve"> : </w:t>
            </w:r>
          </w:p>
          <w:p w:rsidR="0031054F" w:rsidRDefault="0031054F" w:rsidP="0031054F"/>
          <w:p w:rsidR="0031054F" w:rsidRDefault="0031054F" w:rsidP="0031054F">
            <w:bookmarkStart w:id="0" w:name="_GoBack"/>
            <w:bookmarkEnd w:id="0"/>
          </w:p>
          <w:p w:rsidR="0031054F" w:rsidRDefault="0031054F" w:rsidP="0031054F"/>
          <w:p w:rsidR="0031054F" w:rsidRPr="007D5491" w:rsidRDefault="0031054F" w:rsidP="0031054F">
            <w:r w:rsidRPr="007D5491">
              <w:t>« Nom du projet »</w:t>
            </w:r>
            <w:r>
              <w:t xml:space="preserve"> : </w:t>
            </w:r>
          </w:p>
          <w:p w:rsidR="0031054F" w:rsidRDefault="0031054F" w:rsidP="0031054F"/>
          <w:p w:rsidR="0031054F" w:rsidRDefault="0031054F" w:rsidP="0031054F"/>
          <w:p w:rsidR="0031054F" w:rsidRDefault="0031054F" w:rsidP="0031054F"/>
          <w:p w:rsidR="0031054F" w:rsidRPr="007D5491" w:rsidRDefault="0031054F" w:rsidP="0031054F">
            <w:r>
              <w:t xml:space="preserve">Version en date du : </w:t>
            </w:r>
          </w:p>
          <w:p w:rsidR="0031054F" w:rsidRDefault="0031054F" w:rsidP="0031054F"/>
        </w:tc>
      </w:tr>
    </w:tbl>
    <w:p w:rsidR="0031054F" w:rsidRDefault="0031054F" w:rsidP="0031054F"/>
    <w:p w:rsidR="0031054F" w:rsidRPr="00660B9A" w:rsidRDefault="0031054F" w:rsidP="0031054F">
      <w:pPr>
        <w:rPr>
          <w:rFonts w:cs="Arial"/>
          <w:b/>
          <w:szCs w:val="20"/>
        </w:rPr>
      </w:pPr>
      <w:r w:rsidRPr="00660B9A">
        <w:rPr>
          <w:rFonts w:cs="Arial"/>
          <w:b/>
          <w:szCs w:val="20"/>
        </w:rPr>
        <w:t xml:space="preserve">Information préliminaire : </w:t>
      </w:r>
    </w:p>
    <w:p w:rsidR="0031054F" w:rsidRDefault="0031054F" w:rsidP="0031054F">
      <w:pPr>
        <w:rPr>
          <w:rFonts w:cs="Arial"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 w:rsidRPr="00A54856">
        <w:rPr>
          <w:rFonts w:cs="Arial"/>
          <w:i/>
          <w:szCs w:val="20"/>
        </w:rPr>
        <w:t>Ce rapport</w:t>
      </w:r>
      <w:r w:rsidR="00C7562E">
        <w:rPr>
          <w:rFonts w:cs="Arial"/>
          <w:i/>
          <w:szCs w:val="20"/>
        </w:rPr>
        <w:t xml:space="preserve">, signé par le directeur d’établissement, </w:t>
      </w:r>
      <w:r w:rsidRPr="00A54856">
        <w:rPr>
          <w:rFonts w:cs="Arial"/>
          <w:i/>
          <w:szCs w:val="20"/>
        </w:rPr>
        <w:t xml:space="preserve">a pour objectif </w:t>
      </w:r>
      <w:r>
        <w:rPr>
          <w:rFonts w:cs="Arial"/>
          <w:i/>
          <w:szCs w:val="20"/>
        </w:rPr>
        <w:t>d’évaluer</w:t>
      </w:r>
      <w:r w:rsidRPr="00A5485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le</w:t>
      </w:r>
      <w:r w:rsidRPr="00A54856">
        <w:rPr>
          <w:rFonts w:cs="Arial"/>
          <w:i/>
          <w:szCs w:val="20"/>
        </w:rPr>
        <w:t xml:space="preserve"> projet d’investissement</w:t>
      </w:r>
      <w:r>
        <w:rPr>
          <w:rFonts w:cs="Arial"/>
          <w:i/>
          <w:szCs w:val="20"/>
        </w:rPr>
        <w:t xml:space="preserve"> porté par l’établissement</w:t>
      </w:r>
      <w:r w:rsidRPr="00A54856">
        <w:rPr>
          <w:rFonts w:cs="Arial"/>
          <w:i/>
          <w:szCs w:val="20"/>
        </w:rPr>
        <w:t>.</w:t>
      </w:r>
      <w:r>
        <w:rPr>
          <w:rFonts w:cs="Arial"/>
          <w:i/>
          <w:szCs w:val="20"/>
        </w:rPr>
        <w:t xml:space="preserve">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La présente évaluation est fondée sur trois axes : l’analyse territoriale et la validation des hypothèses d’activité retenues par l’établissement, l’analyse du dimensionnement et de la faisabilité technique du projet et sa soutenabilité financière.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C7562E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L’établissement</w:t>
      </w:r>
      <w:r w:rsidR="0031054F">
        <w:rPr>
          <w:rFonts w:cs="Arial"/>
          <w:i/>
          <w:szCs w:val="20"/>
        </w:rPr>
        <w:t xml:space="preserve"> devra s’assurer que le projet est conforme aux standards et référentiels nationaux afin de garantir son efficience et que toute piste optimisation a bien été recherchée.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Ce rapport doit être complet et détaillé pour que le projet, dans toutes ses dimensions (opportunité, aspects techniques, …), soit compréhensible à tout lecteur extérieur.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A54856" w:rsidRDefault="0031054F" w:rsidP="0031054F">
      <w:pPr>
        <w:jc w:val="both"/>
        <w:rPr>
          <w:rFonts w:cs="Arial"/>
          <w:i/>
          <w:szCs w:val="20"/>
        </w:rPr>
      </w:pPr>
      <w:r w:rsidRPr="00A54856">
        <w:rPr>
          <w:rFonts w:cs="Arial"/>
          <w:i/>
          <w:szCs w:val="20"/>
        </w:rPr>
        <w:t xml:space="preserve">Chaque item de cette trame doit </w:t>
      </w:r>
      <w:r>
        <w:rPr>
          <w:rFonts w:cs="Arial"/>
          <w:i/>
          <w:szCs w:val="20"/>
        </w:rPr>
        <w:t xml:space="preserve">obligatoirement être renseigné. </w:t>
      </w:r>
      <w:r w:rsidRPr="00A54856">
        <w:rPr>
          <w:rFonts w:cs="Arial"/>
          <w:i/>
          <w:szCs w:val="20"/>
        </w:rPr>
        <w:t>S’il est sans objet, il convient de le justifier.</w:t>
      </w:r>
      <w:r>
        <w:rPr>
          <w:rFonts w:cs="Arial"/>
          <w:i/>
          <w:szCs w:val="20"/>
        </w:rPr>
        <w:t xml:space="preserve"> La structuration</w:t>
      </w:r>
      <w:r w:rsidRPr="00A5485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du</w:t>
      </w:r>
      <w:r w:rsidRPr="00A54856">
        <w:rPr>
          <w:rFonts w:cs="Arial"/>
          <w:i/>
          <w:szCs w:val="20"/>
        </w:rPr>
        <w:t xml:space="preserve"> présent </w:t>
      </w:r>
      <w:r>
        <w:rPr>
          <w:rFonts w:cs="Arial"/>
          <w:i/>
          <w:szCs w:val="20"/>
        </w:rPr>
        <w:t>rapport</w:t>
      </w:r>
      <w:r w:rsidRPr="00A54856">
        <w:rPr>
          <w:rFonts w:cs="Arial"/>
          <w:i/>
          <w:szCs w:val="20"/>
        </w:rPr>
        <w:t xml:space="preserve"> doit être </w:t>
      </w:r>
      <w:r>
        <w:rPr>
          <w:rFonts w:cs="Arial"/>
          <w:i/>
          <w:szCs w:val="20"/>
        </w:rPr>
        <w:t xml:space="preserve">strictement </w:t>
      </w:r>
      <w:r w:rsidRPr="00A54856">
        <w:rPr>
          <w:rFonts w:cs="Arial"/>
          <w:i/>
          <w:szCs w:val="20"/>
        </w:rPr>
        <w:t>conservé</w:t>
      </w:r>
      <w:r>
        <w:rPr>
          <w:rFonts w:cs="Arial"/>
          <w:i/>
          <w:szCs w:val="20"/>
        </w:rPr>
        <w:t>e</w:t>
      </w:r>
      <w:r w:rsidRPr="00A54856">
        <w:rPr>
          <w:rFonts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A50224" w:rsidRDefault="0031054F" w:rsidP="0031054F">
      <w:pPr>
        <w:jc w:val="both"/>
        <w:rPr>
          <w:rFonts w:cs="Arial"/>
          <w:i/>
          <w:szCs w:val="20"/>
          <w:u w:val="single"/>
        </w:rPr>
      </w:pPr>
      <w:r w:rsidRPr="00A50224">
        <w:rPr>
          <w:rFonts w:cs="Arial"/>
          <w:i/>
          <w:szCs w:val="20"/>
          <w:u w:val="single"/>
        </w:rPr>
        <w:t>Rappel du rôle de l’évaluation socio-économique préalable :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Ce rapport est une pièce majeure qui est utilisée :</w:t>
      </w:r>
    </w:p>
    <w:p w:rsidR="00542179" w:rsidRPr="00583A78" w:rsidRDefault="00542179" w:rsidP="00C7562E">
      <w:pPr>
        <w:pStyle w:val="Paragraphedeliste"/>
        <w:numPr>
          <w:ilvl w:val="0"/>
          <w:numId w:val="32"/>
        </w:numPr>
        <w:rPr>
          <w:rFonts w:cs="Arial"/>
          <w:i/>
          <w:szCs w:val="20"/>
        </w:rPr>
      </w:pPr>
      <w:r w:rsidRPr="00583A78">
        <w:rPr>
          <w:rFonts w:cs="Arial"/>
          <w:i/>
          <w:szCs w:val="20"/>
        </w:rPr>
        <w:t xml:space="preserve">Dans le cadre l’analyse des demandes </w:t>
      </w:r>
      <w:r w:rsidR="00583A78">
        <w:rPr>
          <w:rFonts w:cs="Arial"/>
          <w:i/>
          <w:szCs w:val="20"/>
        </w:rPr>
        <w:t>de subventions d’investissement ;</w:t>
      </w:r>
    </w:p>
    <w:p w:rsidR="0031054F" w:rsidRDefault="00542179" w:rsidP="0031054F">
      <w:pPr>
        <w:numPr>
          <w:ilvl w:val="0"/>
          <w:numId w:val="32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</w:t>
      </w:r>
      <w:r w:rsidR="0031054F">
        <w:rPr>
          <w:rFonts w:cs="Arial"/>
          <w:i/>
          <w:szCs w:val="20"/>
        </w:rPr>
        <w:t>ans le cadre des projets soumis à la procédure d’évaluation nationale des projets d’investissement mise en place par le comité interministériel de la performance et de la modernisation de l’offre de soins hospitaliers (COPERMO) ;</w:t>
      </w:r>
    </w:p>
    <w:p w:rsidR="0031054F" w:rsidRDefault="00542179" w:rsidP="0031054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</w:t>
      </w:r>
      <w:r w:rsidR="0031054F" w:rsidRPr="0071623E">
        <w:rPr>
          <w:rFonts w:cs="Arial"/>
          <w:i/>
          <w:szCs w:val="20"/>
        </w:rPr>
        <w:t>ans le cadre du décret n° 2013-1211 du 23 décembre 2013 relatif à la procédure d’évaluation des investissements publics en application de l’article 17 de la loi n</w:t>
      </w:r>
      <w:r w:rsidR="0031054F">
        <w:rPr>
          <w:rFonts w:cs="Arial"/>
          <w:i/>
          <w:szCs w:val="20"/>
        </w:rPr>
        <w:t>°</w:t>
      </w:r>
      <w:r w:rsidR="0031054F" w:rsidRPr="0071623E">
        <w:rPr>
          <w:rFonts w:cs="Arial"/>
          <w:i/>
          <w:szCs w:val="20"/>
        </w:rPr>
        <w:t xml:space="preserve"> 2012-1558 du 31 décembre 2012 de programmation des finances publiques pour les années 2012 à 2017.</w:t>
      </w:r>
      <w:r w:rsidR="0031054F">
        <w:rPr>
          <w:rFonts w:cs="Arial"/>
          <w:i/>
          <w:szCs w:val="20"/>
        </w:rPr>
        <w:t xml:space="preserve"> Ainsi, le présent rapport pourra être communiqué au Parlement dans deux cas de figure :</w:t>
      </w:r>
    </w:p>
    <w:p w:rsidR="0031054F" w:rsidRPr="007E02CE" w:rsidRDefault="0031054F" w:rsidP="0031054F">
      <w:pPr>
        <w:autoSpaceDE w:val="0"/>
        <w:autoSpaceDN w:val="0"/>
        <w:adjustRightInd w:val="0"/>
        <w:ind w:left="72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sym w:font="Wingdings" w:char="F09F"/>
      </w:r>
      <w:r>
        <w:rPr>
          <w:rFonts w:cs="Arial"/>
          <w:i/>
          <w:szCs w:val="20"/>
        </w:rPr>
        <w:t xml:space="preserve">  </w:t>
      </w:r>
      <w:proofErr w:type="gramStart"/>
      <w:r>
        <w:rPr>
          <w:rFonts w:cs="Arial"/>
          <w:i/>
          <w:szCs w:val="20"/>
        </w:rPr>
        <w:t>si</w:t>
      </w:r>
      <w:proofErr w:type="gramEnd"/>
      <w:r>
        <w:rPr>
          <w:rFonts w:cs="Arial"/>
          <w:i/>
          <w:szCs w:val="20"/>
        </w:rPr>
        <w:t xml:space="preserve"> projet dont le coût est supérieur à 100 M€ HT de financement public est soumis à une obligation de contre-expertise indépendante.</w:t>
      </w:r>
      <w:r w:rsidRPr="000D09D5">
        <w:rPr>
          <w:rFonts w:cs="Arial"/>
          <w:i/>
          <w:szCs w:val="20"/>
        </w:rPr>
        <w:t xml:space="preserve"> </w:t>
      </w:r>
    </w:p>
    <w:p w:rsidR="0031054F" w:rsidRPr="000D09D5" w:rsidRDefault="0031054F" w:rsidP="0031054F">
      <w:pPr>
        <w:autoSpaceDE w:val="0"/>
        <w:autoSpaceDN w:val="0"/>
        <w:adjustRightInd w:val="0"/>
        <w:ind w:left="720"/>
        <w:jc w:val="both"/>
        <w:rPr>
          <w:rFonts w:cs="Arial"/>
          <w:i/>
          <w:szCs w:val="20"/>
        </w:rPr>
      </w:pPr>
      <w:r w:rsidRPr="007E02CE">
        <w:rPr>
          <w:rFonts w:cs="Arial"/>
          <w:i/>
          <w:szCs w:val="20"/>
        </w:rPr>
        <w:sym w:font="Wingdings" w:char="F09F"/>
      </w:r>
      <w:r w:rsidRPr="007E02CE">
        <w:rPr>
          <w:rFonts w:cs="Arial"/>
          <w:i/>
          <w:szCs w:val="20"/>
        </w:rPr>
        <w:t xml:space="preserve"> </w:t>
      </w:r>
      <w:proofErr w:type="gramStart"/>
      <w:r w:rsidRPr="007E02CE">
        <w:rPr>
          <w:rFonts w:cs="Arial"/>
          <w:i/>
          <w:szCs w:val="20"/>
        </w:rPr>
        <w:t>si</w:t>
      </w:r>
      <w:proofErr w:type="gramEnd"/>
      <w:r w:rsidRPr="007E02CE">
        <w:rPr>
          <w:rFonts w:cs="Arial"/>
          <w:i/>
          <w:szCs w:val="20"/>
        </w:rPr>
        <w:t xml:space="preserve"> le projet est dont le coût est supérieur à</w:t>
      </w:r>
      <w:r>
        <w:rPr>
          <w:rFonts w:cs="Arial"/>
          <w:i/>
          <w:szCs w:val="20"/>
        </w:rPr>
        <w:t xml:space="preserve"> 20 M€ HT de financement public est </w:t>
      </w:r>
      <w:r w:rsidRPr="000D09D5">
        <w:rPr>
          <w:rFonts w:cs="Arial"/>
          <w:i/>
          <w:szCs w:val="20"/>
        </w:rPr>
        <w:t xml:space="preserve">soumis à déclaration d’inventaire auprès du </w:t>
      </w:r>
      <w:r>
        <w:rPr>
          <w:rFonts w:cs="Arial"/>
          <w:i/>
          <w:szCs w:val="20"/>
        </w:rPr>
        <w:t>C</w:t>
      </w:r>
      <w:r w:rsidRPr="000D09D5">
        <w:rPr>
          <w:rFonts w:cs="Arial"/>
          <w:i/>
          <w:szCs w:val="20"/>
        </w:rPr>
        <w:t>ommissariat g</w:t>
      </w:r>
      <w:r>
        <w:rPr>
          <w:rFonts w:cs="Arial"/>
          <w:i/>
          <w:szCs w:val="20"/>
        </w:rPr>
        <w:t>énéral à l’investissement (CGI) et à sa demande.</w:t>
      </w:r>
      <w:r w:rsidRPr="000D09D5">
        <w:rPr>
          <w:rFonts w:cs="Arial"/>
          <w:i/>
          <w:szCs w:val="20"/>
        </w:rPr>
        <w:t xml:space="preserve"> </w:t>
      </w:r>
    </w:p>
    <w:p w:rsidR="0031054F" w:rsidRDefault="0031054F" w:rsidP="0031054F">
      <w:pPr>
        <w:pStyle w:val="Paragraphedeliste"/>
        <w:rPr>
          <w:rFonts w:eastAsia="Times New Roman" w:cs="Arial"/>
          <w:i/>
          <w:szCs w:val="20"/>
          <w:lang w:eastAsia="en-US"/>
        </w:rPr>
      </w:pPr>
    </w:p>
    <w:p w:rsidR="0031054F" w:rsidRDefault="00542179" w:rsidP="0031054F">
      <w:pPr>
        <w:pStyle w:val="Paragraphedeliste"/>
        <w:ind w:left="0"/>
        <w:rPr>
          <w:rFonts w:cs="Arial"/>
          <w:i/>
          <w:szCs w:val="20"/>
        </w:rPr>
      </w:pPr>
      <w:r>
        <w:rPr>
          <w:rFonts w:cs="Arial"/>
          <w:i/>
          <w:szCs w:val="20"/>
        </w:rPr>
        <w:t>Sera annexé</w:t>
      </w:r>
      <w:r w:rsidR="0031054F">
        <w:rPr>
          <w:rFonts w:cs="Arial"/>
          <w:i/>
          <w:szCs w:val="20"/>
        </w:rPr>
        <w:t xml:space="preserve"> à ce rapport</w:t>
      </w:r>
      <w:r w:rsidRPr="00542179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la grille des indicateurs DGOS/ANAP </w:t>
      </w:r>
      <w:r w:rsidR="0031054F">
        <w:rPr>
          <w:rFonts w:cs="Arial"/>
          <w:i/>
          <w:szCs w:val="20"/>
        </w:rPr>
        <w:t xml:space="preserve"> (disponibles en fichier Excel) :</w:t>
      </w:r>
    </w:p>
    <w:p w:rsidR="0031054F" w:rsidRPr="00542179" w:rsidRDefault="0031054F" w:rsidP="00963EBE">
      <w:pPr>
        <w:pStyle w:val="En-ttedetabledesmatires"/>
        <w:jc w:val="center"/>
        <w:rPr>
          <w:rFonts w:ascii="Arial" w:hAnsi="Arial" w:cs="Arial"/>
          <w:color w:val="auto"/>
          <w:sz w:val="24"/>
          <w:szCs w:val="24"/>
        </w:rPr>
      </w:pPr>
      <w:r w:rsidRPr="00542179">
        <w:rPr>
          <w:rFonts w:ascii="Arial" w:hAnsi="Arial" w:cs="Arial"/>
          <w:color w:val="auto"/>
          <w:sz w:val="24"/>
          <w:szCs w:val="24"/>
        </w:rPr>
        <w:lastRenderedPageBreak/>
        <w:t>Sommaire</w:t>
      </w:r>
    </w:p>
    <w:p w:rsidR="0031054F" w:rsidRPr="00145A5F" w:rsidRDefault="0031054F" w:rsidP="0031054F">
      <w:pPr>
        <w:rPr>
          <w:lang w:val="en-US" w:eastAsia="ja-JP"/>
        </w:rPr>
      </w:pPr>
    </w:p>
    <w:p w:rsidR="0031054F" w:rsidRDefault="00DD5836">
      <w:pPr>
        <w:pStyle w:val="TM1"/>
        <w:tabs>
          <w:tab w:val="left" w:pos="44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r>
        <w:fldChar w:fldCharType="begin"/>
      </w:r>
      <w:r w:rsidR="0031054F">
        <w:instrText xml:space="preserve"> TOC \o "1-3" \h \z \u </w:instrText>
      </w:r>
      <w:r>
        <w:fldChar w:fldCharType="separate"/>
      </w:r>
      <w:hyperlink w:anchor="_Toc381191553" w:history="1">
        <w:r w:rsidR="0031054F" w:rsidRPr="003F4159">
          <w:rPr>
            <w:rStyle w:val="Lienhypertexte"/>
            <w:noProof/>
          </w:rPr>
          <w:t>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Présentation du projet d’investissement de l’établissement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31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4" w:history="1">
        <w:r w:rsidR="0031054F" w:rsidRPr="003F4159">
          <w:rPr>
            <w:rStyle w:val="Lienhypertexte"/>
            <w:noProof/>
          </w:rPr>
          <w:t>1.1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Présentation de l’établissement porteur du projet d’investissement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_Toc381191554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5" w:history="1">
        <w:r w:rsidR="0031054F" w:rsidRPr="003F4159">
          <w:rPr>
            <w:rStyle w:val="Lienhypertexte"/>
            <w:noProof/>
          </w:rPr>
          <w:t>1.2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Définition du périmètre du projet faisant l’objet de l’évaluation socio-économique préalable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_Toc381191555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7" w:history="1">
        <w:r w:rsidR="00542179">
          <w:rPr>
            <w:rStyle w:val="Lienhypertexte"/>
            <w:rFonts w:eastAsia="Calibri"/>
            <w:noProof/>
          </w:rPr>
          <w:t>1.3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Calendrier prévisionnel et état d’avancement du projet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_Toc381191557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8" w:history="1">
        <w:r w:rsidR="00542179">
          <w:rPr>
            <w:rStyle w:val="Lienhypertexte"/>
            <w:rFonts w:eastAsia="Calibri"/>
            <w:noProof/>
          </w:rPr>
          <w:t>1.4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Caractère dissociable ou non des sous-opérations du projet et modalités de continuité de fonctionnement de l’établissement, notamment en cas de restructuration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_Toc381191558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9" w:history="1">
        <w:r w:rsidR="00542179">
          <w:rPr>
            <w:rStyle w:val="Lienhypertexte"/>
            <w:rFonts w:eastAsia="Calibri"/>
            <w:noProof/>
          </w:rPr>
          <w:t>1.5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Alternatives possibles au projet, compatibles avec les objectifs du schéma directeur de l’établissement et analyse de la pertinence du choix fait par l’établissement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_Toc381191559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0" w:history="1">
        <w:r w:rsidR="00542179">
          <w:rPr>
            <w:rStyle w:val="Lienhypertexte"/>
            <w:rFonts w:eastAsia="Calibri"/>
            <w:noProof/>
          </w:rPr>
          <w:t>1.6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Justification de la procédure retenue (MOP classique, conception-réalisation, conception-réalisation-maintenance, PPP)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_Toc381191560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1" w:history="1">
        <w:r w:rsidR="00542179">
          <w:rPr>
            <w:rStyle w:val="Lienhypertexte"/>
            <w:rFonts w:eastAsia="Calibri"/>
            <w:noProof/>
          </w:rPr>
          <w:t>1.7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Cartographie et maîtrise des principaux risques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_Toc381191561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1"/>
        <w:tabs>
          <w:tab w:val="left" w:pos="44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2" w:history="1">
        <w:r w:rsidR="0031054F" w:rsidRPr="003F4159">
          <w:rPr>
            <w:rStyle w:val="Lienhypertexte"/>
            <w:noProof/>
          </w:rPr>
          <w:t>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de la cohérence du projet avec l’organisation territoriale de l’offre de soins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_Toc381191562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3" w:history="1">
        <w:r w:rsidR="0031054F" w:rsidRPr="003F4159">
          <w:rPr>
            <w:rStyle w:val="Lienhypertexte"/>
            <w:rFonts w:eastAsia="Calibri"/>
            <w:noProof/>
          </w:rPr>
          <w:t>2.1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Évolution de la population, de sa structure et de son état de santé à l’horizon 2025/2030 sur le bassin/territoire de santé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_Toc381191563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4" w:history="1">
        <w:r w:rsidR="0031054F" w:rsidRPr="003F4159">
          <w:rPr>
            <w:rStyle w:val="Lienhypertexte"/>
            <w:noProof/>
          </w:rPr>
          <w:t>2.2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Conformité du projet par rapport au SROS-PRS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_Toc381191564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5" w:history="1">
        <w:r w:rsidR="0031054F" w:rsidRPr="003F4159">
          <w:rPr>
            <w:rStyle w:val="Lienhypertexte"/>
            <w:noProof/>
          </w:rPr>
          <w:t>2.3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Opportunité du projet sur les domaines d’activités concernés par rapport aux établissements de la zone d’attractivité de l’établissement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_Toc381191565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6" w:history="1">
        <w:r w:rsidR="0031054F" w:rsidRPr="003F4159">
          <w:rPr>
            <w:rStyle w:val="Lienhypertexte"/>
            <w:noProof/>
          </w:rPr>
          <w:t>2.3.1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Positionnement de l’établissement par rapport aux autres structures du territoire de santé / de la zone d’attractivité de l’établissement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_Toc381191566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7" w:history="1">
        <w:r w:rsidR="0031054F" w:rsidRPr="003F4159">
          <w:rPr>
            <w:rStyle w:val="Lienhypertexte"/>
            <w:noProof/>
          </w:rPr>
          <w:t>2.3.2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Evolution du volume d’activité actuel et futur de l’établissement sur les différents domaines d’activités impactés par le projet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_Toc381191567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1"/>
        <w:tabs>
          <w:tab w:val="left" w:pos="44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8" w:history="1">
        <w:r w:rsidR="0031054F" w:rsidRPr="003F4159">
          <w:rPr>
            <w:rStyle w:val="Lienhypertexte"/>
            <w:noProof/>
          </w:rPr>
          <w:t>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et validation du dimensionnement du futur établissement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_Toc381191568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9" w:history="1">
        <w:r w:rsidR="0031054F" w:rsidRPr="003F4159">
          <w:rPr>
            <w:rStyle w:val="Lienhypertexte"/>
            <w:rFonts w:eastAsia="Calibri"/>
            <w:noProof/>
          </w:rPr>
          <w:t>3.1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Dimensionnement capacitaire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_Toc381191569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0" w:history="1">
        <w:r w:rsidR="0031054F" w:rsidRPr="003F4159">
          <w:rPr>
            <w:rStyle w:val="Lienhypertexte"/>
            <w:noProof/>
          </w:rPr>
          <w:t>3.1.1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globale de l’évolution de la capacité de l’établissement par type d’activité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_Toc381191570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1" w:history="1">
        <w:r w:rsidR="0031054F" w:rsidRPr="003F4159">
          <w:rPr>
            <w:rStyle w:val="Lienhypertexte"/>
            <w:noProof/>
          </w:rPr>
          <w:t>3.1.2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du dimensionnement capacitaire détaillé sur le périmètre du projet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_Toc381191571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2" w:history="1">
        <w:r w:rsidR="0031054F" w:rsidRPr="003F4159">
          <w:rPr>
            <w:rStyle w:val="Lienhypertexte"/>
            <w:rFonts w:eastAsia="Calibri"/>
            <w:noProof/>
          </w:rPr>
          <w:t>3.2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Calibrage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_Toc381191572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3" w:history="1">
        <w:r w:rsidR="0031054F" w:rsidRPr="003F4159">
          <w:rPr>
            <w:rStyle w:val="Lienhypertexte"/>
            <w:rFonts w:eastAsia="Calibri"/>
            <w:noProof/>
          </w:rPr>
          <w:t>3.3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Dimensionnement des locaux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_Toc381191573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4" w:history="1">
        <w:r w:rsidR="0031054F" w:rsidRPr="003F4159">
          <w:rPr>
            <w:rStyle w:val="Lienhypertexte"/>
            <w:rFonts w:eastAsia="Calibri"/>
            <w:noProof/>
          </w:rPr>
          <w:t>3.4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Organisation spatiale, fonctionnelle et technique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_Toc381191574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5" w:history="1">
        <w:r w:rsidR="0031054F" w:rsidRPr="003F4159">
          <w:rPr>
            <w:rStyle w:val="Lienhypertexte"/>
            <w:rFonts w:eastAsia="Calibri"/>
            <w:noProof/>
          </w:rPr>
          <w:t>3.4.1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Organisation spatiale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_Toc381191575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6" w:history="1">
        <w:r w:rsidR="0031054F" w:rsidRPr="003F4159">
          <w:rPr>
            <w:rStyle w:val="Lienhypertexte"/>
            <w:rFonts w:eastAsia="Calibri"/>
            <w:noProof/>
          </w:rPr>
          <w:t>3.4.2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Principes retenus en matière de standardisation et de mutualisation des locaux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_Toc381191576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7" w:history="1">
        <w:r w:rsidR="0031054F" w:rsidRPr="003F4159">
          <w:rPr>
            <w:rStyle w:val="Lienhypertexte"/>
            <w:rFonts w:eastAsia="Calibri"/>
            <w:noProof/>
          </w:rPr>
          <w:t>3.4.3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Principes retenus en matière de développement durable (consommations d’énergie notamment)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_Toc381191577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8" w:history="1">
        <w:r w:rsidR="0031054F" w:rsidRPr="003F4159">
          <w:rPr>
            <w:rStyle w:val="Lienhypertexte"/>
            <w:rFonts w:eastAsia="Calibri"/>
            <w:noProof/>
          </w:rPr>
          <w:t>3.4.4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Principes retenus en matière de maintenance des installations et d’exploitation du bâtiment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_Toc381191578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9" w:history="1">
        <w:r w:rsidR="0031054F" w:rsidRPr="003F4159">
          <w:rPr>
            <w:rStyle w:val="Lienhypertexte"/>
            <w:rFonts w:eastAsia="Calibri"/>
            <w:noProof/>
          </w:rPr>
          <w:t>3.5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Modularité du projet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_Toc381191579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0" w:history="1">
        <w:r w:rsidR="0031054F" w:rsidRPr="003F4159">
          <w:rPr>
            <w:rStyle w:val="Lienhypertexte"/>
            <w:noProof/>
          </w:rPr>
          <w:t>3.6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Coût des travaux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_Toc381191580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1" w:history="1">
        <w:r w:rsidR="0031054F" w:rsidRPr="003F4159">
          <w:rPr>
            <w:rStyle w:val="Lienhypertexte"/>
            <w:noProof/>
          </w:rPr>
          <w:t>3.7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Calendrier prévisionnel des décaissements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_Toc381191581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1"/>
        <w:tabs>
          <w:tab w:val="left" w:pos="44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2" w:history="1">
        <w:r w:rsidR="0031054F" w:rsidRPr="003F4159">
          <w:rPr>
            <w:rStyle w:val="Lienhypertexte"/>
            <w:noProof/>
          </w:rPr>
          <w:t>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et validation du plan de financement envisagé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_Toc381191582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3" w:history="1">
        <w:r w:rsidR="0031054F" w:rsidRPr="003F4159">
          <w:rPr>
            <w:rStyle w:val="Lienhypertexte"/>
            <w:noProof/>
          </w:rPr>
          <w:t>4.1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des impacts financiers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_Toc381191583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4" w:history="1">
        <w:r w:rsidR="0031054F" w:rsidRPr="003F4159">
          <w:rPr>
            <w:rStyle w:val="Lienhypertexte"/>
            <w:rFonts w:eastAsia="Calibri"/>
            <w:noProof/>
          </w:rPr>
          <w:t>4.1.1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Synthèse des gains (retour sur investissement)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_Toc381191584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5" w:history="1">
        <w:r w:rsidR="0031054F" w:rsidRPr="003F4159">
          <w:rPr>
            <w:rStyle w:val="Lienhypertexte"/>
            <w:rFonts w:eastAsia="Calibri"/>
            <w:noProof/>
          </w:rPr>
          <w:t>4.1.2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Charges de titre 1 (avant/après)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_Toc381191585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6" w:history="1">
        <w:r w:rsidR="0031054F" w:rsidRPr="003F4159">
          <w:rPr>
            <w:rStyle w:val="Lienhypertexte"/>
            <w:rFonts w:eastAsia="Calibri"/>
            <w:noProof/>
          </w:rPr>
          <w:t>4.1.3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Charges de titre 2 et 3 (avant/après)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_Toc381191586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7" w:history="1">
        <w:r w:rsidR="0031054F" w:rsidRPr="003F4159">
          <w:rPr>
            <w:rStyle w:val="Lienhypertexte"/>
            <w:rFonts w:eastAsia="Calibri"/>
            <w:noProof/>
          </w:rPr>
          <w:t>4.1.4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Charges de titre 4 (avant/après)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_Toc381191587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8" w:history="1">
        <w:r w:rsidR="0031054F" w:rsidRPr="003F4159">
          <w:rPr>
            <w:rStyle w:val="Lienhypertexte"/>
            <w:rFonts w:eastAsia="Calibri"/>
            <w:noProof/>
          </w:rPr>
          <w:t>4.1.5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Modalités et prévisions d’amortissements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_Toc381191588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9" w:history="1">
        <w:r w:rsidR="0031054F" w:rsidRPr="003F4159">
          <w:rPr>
            <w:rStyle w:val="Lienhypertexte"/>
            <w:rFonts w:eastAsia="Calibri"/>
            <w:noProof/>
          </w:rPr>
          <w:t>4.1.6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Recettes du titre 1 (impact activité avant/après).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_Toc381191589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0" w:history="1">
        <w:r w:rsidR="0031054F" w:rsidRPr="003F4159">
          <w:rPr>
            <w:rStyle w:val="Lienhypertexte"/>
            <w:rFonts w:eastAsia="Calibri"/>
            <w:noProof/>
          </w:rPr>
          <w:t>4.1.7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Recettes du titre 2 (notamment recettes propres régimes particuliers) ou partage d’activités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_Toc381191590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1" w:history="1">
        <w:r w:rsidR="0031054F" w:rsidRPr="003F4159">
          <w:rPr>
            <w:rStyle w:val="Lienhypertexte"/>
            <w:rFonts w:eastAsia="Calibri"/>
            <w:noProof/>
          </w:rPr>
          <w:t>4.1.8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Recettes du titre 3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_Toc381191591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2" w:history="1">
        <w:r w:rsidR="0031054F" w:rsidRPr="003F4159">
          <w:rPr>
            <w:rStyle w:val="Lienhypertexte"/>
            <w:noProof/>
          </w:rPr>
          <w:t>4.2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Présentation du programme d’investissement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_Toc381191592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3" w:history="1">
        <w:r w:rsidR="0031054F" w:rsidRPr="003F4159">
          <w:rPr>
            <w:rStyle w:val="Lienhypertexte"/>
            <w:rFonts w:eastAsia="Calibri"/>
            <w:noProof/>
          </w:rPr>
          <w:t>4.2.1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Autres opérations significatives prévues dans le PPI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_Toc381191593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4" w:history="1">
        <w:r w:rsidR="0031054F" w:rsidRPr="003F4159">
          <w:rPr>
            <w:rStyle w:val="Lienhypertexte"/>
            <w:rFonts w:eastAsia="Calibri"/>
            <w:noProof/>
          </w:rPr>
          <w:t>4.2.2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Opérations courantes ventilées par grands postes (GER, équipements courants, SI)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_Toc381191594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5" w:history="1">
        <w:r w:rsidR="0031054F" w:rsidRPr="003F4159">
          <w:rPr>
            <w:rStyle w:val="Lienhypertexte"/>
            <w:noProof/>
          </w:rPr>
          <w:t>4.3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Plan de financement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_Toc381191595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6" w:history="1">
        <w:r w:rsidR="0031054F" w:rsidRPr="003F4159">
          <w:rPr>
            <w:rStyle w:val="Lienhypertexte"/>
            <w:noProof/>
          </w:rPr>
          <w:t>4.4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du plan de financement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_Toc381191596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7" w:history="1">
        <w:r w:rsidR="0031054F" w:rsidRPr="003F4159">
          <w:rPr>
            <w:rStyle w:val="Lienhypertexte"/>
            <w:rFonts w:eastAsia="Calibri"/>
            <w:noProof/>
          </w:rPr>
          <w:t>4.4.1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Mobilisation de l’autofinancement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_Toc381191597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8" w:history="1">
        <w:r w:rsidR="0031054F" w:rsidRPr="003F4159">
          <w:rPr>
            <w:rStyle w:val="Lienhypertexte"/>
            <w:noProof/>
          </w:rPr>
          <w:t>4.4.2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Valorisation du patrimoine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_Toc381191598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9" w:history="1">
        <w:r w:rsidR="0031054F" w:rsidRPr="003F4159">
          <w:rPr>
            <w:rStyle w:val="Lienhypertexte"/>
            <w:rFonts w:eastAsia="Calibri"/>
            <w:noProof/>
          </w:rPr>
          <w:t>4.4.3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Etude de la soutenabilité financière par l’évolution de la marge brute non aidée, le niveau de dette et la variation du fonds de roulement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_Toc381191599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600" w:history="1">
        <w:r w:rsidR="0031054F" w:rsidRPr="003F4159">
          <w:rPr>
            <w:rStyle w:val="Lienhypertexte"/>
            <w:rFonts w:eastAsia="Calibri"/>
            <w:noProof/>
          </w:rPr>
          <w:t>4.4.4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Étude d'impact du recours à l’endettement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_Toc381191600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601" w:history="1">
        <w:r w:rsidR="0031054F" w:rsidRPr="003F4159">
          <w:rPr>
            <w:rStyle w:val="Lienhypertexte"/>
            <w:noProof/>
          </w:rPr>
          <w:t>4.4.5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des alternatives au plan de financement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_Toc381191601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602" w:history="1">
        <w:r w:rsidR="0031054F" w:rsidRPr="003F4159">
          <w:rPr>
            <w:rStyle w:val="Lienhypertexte"/>
            <w:rFonts w:eastAsia="Calibri"/>
            <w:noProof/>
          </w:rPr>
          <w:t>4.4.6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Scénario hypothèse basse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_Toc381191602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0F318D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603" w:history="1">
        <w:r w:rsidR="0031054F" w:rsidRPr="003F4159">
          <w:rPr>
            <w:rStyle w:val="Lienhypertexte"/>
            <w:rFonts w:eastAsia="Calibri"/>
            <w:noProof/>
          </w:rPr>
          <w:t>4.4.7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Conclusion sur l’analyse du PGFP</w:t>
        </w:r>
        <w:r w:rsidR="0031054F">
          <w:rPr>
            <w:noProof/>
            <w:webHidden/>
          </w:rPr>
          <w:tab/>
        </w:r>
        <w:r w:rsidR="00DD5836"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_Toc381191603 \h </w:instrText>
        </w:r>
        <w:r w:rsidR="00DD5836">
          <w:rPr>
            <w:noProof/>
            <w:webHidden/>
          </w:rPr>
        </w:r>
        <w:r w:rsidR="00DD583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D5836">
          <w:rPr>
            <w:noProof/>
            <w:webHidden/>
          </w:rPr>
          <w:fldChar w:fldCharType="end"/>
        </w:r>
      </w:hyperlink>
    </w:p>
    <w:p w:rsidR="0031054F" w:rsidRDefault="00DD5836" w:rsidP="0031054F">
      <w:r>
        <w:rPr>
          <w:b/>
          <w:bCs/>
          <w:noProof/>
        </w:rPr>
        <w:fldChar w:fldCharType="end"/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Pr="007D5491" w:rsidRDefault="0031054F" w:rsidP="0031054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:rsidR="0031054F" w:rsidRPr="00AC7766" w:rsidRDefault="0031054F" w:rsidP="0031054F">
      <w:pPr>
        <w:pStyle w:val="Titre1"/>
      </w:pPr>
      <w:bookmarkStart w:id="1" w:name="_Toc381191553"/>
      <w:r>
        <w:lastRenderedPageBreak/>
        <w:t>Présentation</w:t>
      </w:r>
      <w:r w:rsidRPr="00D743DD">
        <w:t xml:space="preserve"> du projet </w:t>
      </w:r>
      <w:r>
        <w:t xml:space="preserve">d’investissement </w:t>
      </w:r>
      <w:r w:rsidRPr="00D743DD">
        <w:t>de l’établissement</w:t>
      </w:r>
      <w:bookmarkEnd w:id="1"/>
    </w:p>
    <w:p w:rsidR="0031054F" w:rsidRDefault="0031054F" w:rsidP="0031054F">
      <w:pPr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 xml:space="preserve">Cette partie contient une </w:t>
      </w:r>
      <w:r>
        <w:rPr>
          <w:rFonts w:cs="Arial"/>
          <w:i/>
          <w:szCs w:val="20"/>
        </w:rPr>
        <w:t>description synthétique du projet qui sera développée dans les parties suivantes.</w:t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" w:name="_Toc376939331"/>
      <w:bookmarkStart w:id="3" w:name="_Toc381191554"/>
      <w:r w:rsidRPr="00E9074E">
        <w:rPr>
          <w:color w:val="auto"/>
        </w:rPr>
        <w:t>Présentation de l’établissement porteur du projet</w:t>
      </w:r>
      <w:bookmarkEnd w:id="2"/>
      <w:r w:rsidRPr="00E9074E">
        <w:rPr>
          <w:color w:val="auto"/>
        </w:rPr>
        <w:t xml:space="preserve"> d’investissement</w:t>
      </w:r>
      <w:bookmarkEnd w:id="3"/>
    </w:p>
    <w:p w:rsidR="0031054F" w:rsidRDefault="0031054F" w:rsidP="0031054F"/>
    <w:p w:rsidR="0031054F" w:rsidRDefault="0031054F" w:rsidP="0031054F">
      <w:pPr>
        <w:jc w:val="both"/>
        <w:rPr>
          <w:i/>
        </w:rPr>
      </w:pPr>
      <w:r>
        <w:rPr>
          <w:i/>
        </w:rPr>
        <w:t xml:space="preserve">Présenter l’établissement ou dans le cas par exemple d’un regroupement de structures (GCS-Etablissement de santé ou de moyens), les établissements impliqués ainsi que les structures juridiques de portage de l’opération avant/après projet. </w:t>
      </w:r>
    </w:p>
    <w:p w:rsidR="0031054F" w:rsidRDefault="0031054F" w:rsidP="0031054F">
      <w:pPr>
        <w:jc w:val="both"/>
        <w:rPr>
          <w:i/>
        </w:rPr>
      </w:pPr>
    </w:p>
    <w:p w:rsidR="0031054F" w:rsidRPr="005A458B" w:rsidRDefault="0031054F" w:rsidP="0031054F">
      <w:pPr>
        <w:jc w:val="both"/>
        <w:rPr>
          <w:i/>
        </w:rPr>
      </w:pPr>
      <w:r w:rsidRPr="005A458B">
        <w:rPr>
          <w:i/>
        </w:rPr>
        <w:t xml:space="preserve">Présenter les données générales de l’établissement </w:t>
      </w:r>
      <w:r>
        <w:rPr>
          <w:i/>
        </w:rPr>
        <w:t xml:space="preserve">(ou des établissements) </w:t>
      </w:r>
      <w:r w:rsidRPr="005A458B">
        <w:rPr>
          <w:i/>
        </w:rPr>
        <w:t>en renseignant les items suivants :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>
        <w:rPr>
          <w:i/>
        </w:rPr>
        <w:t xml:space="preserve">Type d’établissement (CHR-CHU, </w:t>
      </w:r>
      <w:r w:rsidRPr="005A458B">
        <w:rPr>
          <w:i/>
        </w:rPr>
        <w:t xml:space="preserve">CH, CHS, ESPIC, ex OQN, etc.) et structure juridique 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 xml:space="preserve">Nombre de lits </w:t>
      </w:r>
      <w:r>
        <w:rPr>
          <w:i/>
        </w:rPr>
        <w:t>(toutes activités confondues – hors champ médico-social)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Nombre de places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Nombre de sites</w:t>
      </w:r>
      <w:r>
        <w:rPr>
          <w:i/>
        </w:rPr>
        <w:t xml:space="preserve">, leur dénomination </w:t>
      </w:r>
      <w:r w:rsidRPr="005A458B">
        <w:rPr>
          <w:i/>
        </w:rPr>
        <w:t>et les activités hébergées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Surfaces générales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Produits CRPP et globaux (classe 7)</w:t>
      </w:r>
    </w:p>
    <w:p w:rsidR="0031054F" w:rsidRDefault="0031054F" w:rsidP="0031054F">
      <w:pPr>
        <w:jc w:val="both"/>
        <w:rPr>
          <w:i/>
        </w:rPr>
      </w:pPr>
    </w:p>
    <w:p w:rsidR="0031054F" w:rsidRDefault="0031054F" w:rsidP="0031054F">
      <w:pPr>
        <w:jc w:val="both"/>
        <w:rPr>
          <w:i/>
        </w:rPr>
      </w:pPr>
      <w:r>
        <w:rPr>
          <w:i/>
        </w:rPr>
        <w:t>Insérez un plan de masse du site en</w:t>
      </w:r>
      <w:r w:rsidRPr="00416FC0">
        <w:rPr>
          <w:i/>
        </w:rPr>
        <w:t xml:space="preserve"> localis</w:t>
      </w:r>
      <w:r>
        <w:rPr>
          <w:i/>
        </w:rPr>
        <w:t>ant</w:t>
      </w:r>
      <w:r w:rsidRPr="00416FC0">
        <w:rPr>
          <w:i/>
        </w:rPr>
        <w:t xml:space="preserve"> géographique</w:t>
      </w:r>
      <w:r>
        <w:rPr>
          <w:i/>
        </w:rPr>
        <w:t>ment le</w:t>
      </w:r>
      <w:r w:rsidRPr="00416FC0">
        <w:rPr>
          <w:i/>
        </w:rPr>
        <w:t xml:space="preserve"> </w:t>
      </w:r>
      <w:r>
        <w:rPr>
          <w:i/>
        </w:rPr>
        <w:t xml:space="preserve">projet et </w:t>
      </w:r>
      <w:r w:rsidRPr="00416FC0">
        <w:rPr>
          <w:i/>
        </w:rPr>
        <w:t>son accessi</w:t>
      </w:r>
      <w:r>
        <w:rPr>
          <w:i/>
        </w:rPr>
        <w:t>bilité (transports en commun, etc.)</w:t>
      </w:r>
    </w:p>
    <w:p w:rsidR="0031054F" w:rsidRDefault="0031054F" w:rsidP="0031054F"/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4" w:name="_Toc376939332"/>
      <w:bookmarkStart w:id="5" w:name="_Toc381191555"/>
      <w:r w:rsidRPr="00E9074E">
        <w:rPr>
          <w:color w:val="auto"/>
        </w:rPr>
        <w:t>Définition du périmètre du projet faisant l’objet de l’évaluation socio-économique préalable</w:t>
      </w:r>
      <w:bookmarkEnd w:id="4"/>
      <w:bookmarkEnd w:id="5"/>
    </w:p>
    <w:p w:rsidR="0031054F" w:rsidRDefault="0031054F" w:rsidP="0031054F">
      <w:pPr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i/>
        </w:rPr>
      </w:pPr>
      <w:r w:rsidRPr="007D5491">
        <w:rPr>
          <w:rFonts w:cs="Arial"/>
          <w:i/>
          <w:szCs w:val="20"/>
        </w:rPr>
        <w:t xml:space="preserve">Cette partie doit </w:t>
      </w:r>
      <w:r>
        <w:rPr>
          <w:rFonts w:cs="Arial"/>
          <w:i/>
          <w:szCs w:val="20"/>
        </w:rPr>
        <w:t>permettre de</w:t>
      </w:r>
      <w:r w:rsidRPr="007D5491">
        <w:rPr>
          <w:rFonts w:cs="Arial"/>
          <w:i/>
          <w:szCs w:val="20"/>
        </w:rPr>
        <w:t xml:space="preserve"> définir </w:t>
      </w:r>
      <w:r>
        <w:rPr>
          <w:rFonts w:cs="Arial"/>
          <w:i/>
          <w:szCs w:val="20"/>
        </w:rPr>
        <w:t xml:space="preserve">le projet </w:t>
      </w:r>
      <w:r w:rsidRPr="007D5491">
        <w:rPr>
          <w:rFonts w:cs="Arial"/>
          <w:i/>
          <w:szCs w:val="20"/>
        </w:rPr>
        <w:t xml:space="preserve">examiné par </w:t>
      </w:r>
      <w:r>
        <w:rPr>
          <w:rFonts w:cs="Arial"/>
          <w:i/>
          <w:szCs w:val="20"/>
        </w:rPr>
        <w:t>l’ARS dans le cadre de son évaluation socio-économique. D</w:t>
      </w:r>
      <w:r w:rsidRPr="007D5491">
        <w:rPr>
          <w:rFonts w:cs="Arial"/>
          <w:i/>
          <w:szCs w:val="20"/>
        </w:rPr>
        <w:t xml:space="preserve">ans le cas d’un projet contenant plusieurs </w:t>
      </w:r>
      <w:r>
        <w:rPr>
          <w:rFonts w:cs="Arial"/>
          <w:i/>
          <w:szCs w:val="20"/>
        </w:rPr>
        <w:t>sous-opérations</w:t>
      </w:r>
      <w:r w:rsidRPr="007D5491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 xml:space="preserve">elles doivent être précisément explicitées. </w:t>
      </w:r>
      <w:r>
        <w:rPr>
          <w:i/>
        </w:rPr>
        <w:t>L</w:t>
      </w:r>
      <w:r w:rsidRPr="00077D79">
        <w:rPr>
          <w:i/>
        </w:rPr>
        <w:t>es différentes sous</w:t>
      </w:r>
      <w:r>
        <w:rPr>
          <w:i/>
        </w:rPr>
        <w:t>-</w:t>
      </w:r>
      <w:r w:rsidRPr="00077D79">
        <w:rPr>
          <w:i/>
        </w:rPr>
        <w:t xml:space="preserve">opérations du projet </w:t>
      </w:r>
      <w:r>
        <w:rPr>
          <w:i/>
        </w:rPr>
        <w:t xml:space="preserve">doivent </w:t>
      </w:r>
      <w:r w:rsidRPr="00077D79">
        <w:rPr>
          <w:i/>
        </w:rPr>
        <w:t>form</w:t>
      </w:r>
      <w:r>
        <w:rPr>
          <w:i/>
        </w:rPr>
        <w:t>er</w:t>
      </w:r>
      <w:r w:rsidRPr="00077D79">
        <w:rPr>
          <w:i/>
        </w:rPr>
        <w:t xml:space="preserve"> un ensemble cohérent et de même nature pouvant donner lieu à des livraisons intermédiaires</w:t>
      </w:r>
      <w:r>
        <w:rPr>
          <w:i/>
        </w:rPr>
        <w:t>.</w:t>
      </w:r>
    </w:p>
    <w:p w:rsidR="00542179" w:rsidRDefault="00542179" w:rsidP="0031054F">
      <w:pPr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972"/>
        <w:gridCol w:w="3232"/>
      </w:tblGrid>
      <w:tr w:rsidR="00542179" w:rsidRPr="007D5491" w:rsidTr="00931F8C">
        <w:tc>
          <w:tcPr>
            <w:tcW w:w="1660" w:type="pct"/>
          </w:tcPr>
          <w:p w:rsidR="00542179" w:rsidRPr="007D5491" w:rsidRDefault="00542179" w:rsidP="005421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Périmètre du </w:t>
            </w:r>
            <w:r w:rsidRPr="007D5491">
              <w:rPr>
                <w:rFonts w:cs="Arial"/>
                <w:b/>
                <w:szCs w:val="20"/>
              </w:rPr>
              <w:t xml:space="preserve">projet </w:t>
            </w:r>
            <w:r>
              <w:rPr>
                <w:rFonts w:cs="Arial"/>
                <w:b/>
                <w:szCs w:val="20"/>
              </w:rPr>
              <w:t xml:space="preserve">soumis à évaluation socio-économique </w:t>
            </w:r>
          </w:p>
        </w:tc>
        <w:tc>
          <w:tcPr>
            <w:tcW w:w="1600" w:type="pct"/>
          </w:tcPr>
          <w:p w:rsidR="00542179" w:rsidRDefault="00542179" w:rsidP="00931F8C">
            <w:pPr>
              <w:jc w:val="center"/>
              <w:rPr>
                <w:rFonts w:cs="Arial"/>
                <w:b/>
                <w:szCs w:val="20"/>
              </w:rPr>
            </w:pPr>
            <w:r w:rsidRPr="007D5491">
              <w:rPr>
                <w:rFonts w:cs="Arial"/>
                <w:b/>
                <w:szCs w:val="20"/>
              </w:rPr>
              <w:t xml:space="preserve">Coût du projet </w:t>
            </w:r>
            <w:r>
              <w:rPr>
                <w:rFonts w:cs="Arial"/>
                <w:b/>
                <w:szCs w:val="20"/>
              </w:rPr>
              <w:t xml:space="preserve">TTC </w:t>
            </w:r>
            <w:r w:rsidRPr="007D5491">
              <w:rPr>
                <w:rFonts w:cs="Arial"/>
                <w:b/>
                <w:szCs w:val="20"/>
              </w:rPr>
              <w:t>TDC</w:t>
            </w:r>
            <w:r>
              <w:rPr>
                <w:rFonts w:cs="Arial"/>
                <w:b/>
                <w:szCs w:val="20"/>
              </w:rPr>
              <w:t xml:space="preserve"> valeur fin de chantier</w:t>
            </w:r>
          </w:p>
          <w:p w:rsidR="00542179" w:rsidRPr="00077D79" w:rsidRDefault="00542179" w:rsidP="00931F8C">
            <w:pPr>
              <w:jc w:val="center"/>
              <w:rPr>
                <w:rFonts w:cs="Arial"/>
                <w:sz w:val="18"/>
                <w:szCs w:val="18"/>
              </w:rPr>
            </w:pPr>
            <w:r w:rsidRPr="00077D79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dont</w:t>
            </w:r>
            <w:r w:rsidRPr="00077D79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x M€ liés aux dépen</w:t>
            </w:r>
            <w:r w:rsidRPr="00077D79">
              <w:rPr>
                <w:rFonts w:cs="Arial"/>
                <w:b/>
                <w:sz w:val="18"/>
                <w:szCs w:val="18"/>
              </w:rPr>
              <w:t xml:space="preserve">ses </w:t>
            </w:r>
            <w:r>
              <w:rPr>
                <w:rFonts w:cs="Arial"/>
                <w:b/>
                <w:sz w:val="18"/>
                <w:szCs w:val="18"/>
              </w:rPr>
              <w:t>d’</w:t>
            </w:r>
            <w:r w:rsidRPr="00077D79">
              <w:rPr>
                <w:rFonts w:cs="Arial"/>
                <w:b/>
                <w:sz w:val="18"/>
                <w:szCs w:val="18"/>
              </w:rPr>
              <w:t>équipements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077D79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1740" w:type="pct"/>
          </w:tcPr>
          <w:p w:rsidR="00542179" w:rsidRDefault="00542179" w:rsidP="00931F8C">
            <w:pPr>
              <w:jc w:val="center"/>
              <w:rPr>
                <w:rFonts w:cs="Arial"/>
                <w:b/>
                <w:szCs w:val="20"/>
              </w:rPr>
            </w:pPr>
            <w:r w:rsidRPr="007D5491">
              <w:rPr>
                <w:rFonts w:cs="Arial"/>
                <w:b/>
                <w:szCs w:val="20"/>
              </w:rPr>
              <w:t xml:space="preserve">Stade d’avancement </w:t>
            </w:r>
            <w:r>
              <w:rPr>
                <w:rFonts w:cs="Arial"/>
                <w:b/>
                <w:szCs w:val="20"/>
              </w:rPr>
              <w:t>du projet</w:t>
            </w:r>
          </w:p>
          <w:p w:rsidR="00542179" w:rsidRPr="00077D79" w:rsidRDefault="00542179" w:rsidP="00931F8C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077D79">
              <w:rPr>
                <w:rFonts w:cs="Arial"/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pré-programme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r w:rsidRPr="00077D79">
              <w:rPr>
                <w:rFonts w:cs="Arial"/>
                <w:b/>
                <w:i/>
                <w:sz w:val="18"/>
                <w:szCs w:val="18"/>
              </w:rPr>
              <w:t>PTD,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077D79">
              <w:rPr>
                <w:rFonts w:cs="Arial"/>
                <w:b/>
                <w:i/>
                <w:sz w:val="18"/>
                <w:szCs w:val="18"/>
              </w:rPr>
              <w:t>etc</w:t>
            </w:r>
            <w:r>
              <w:rPr>
                <w:rFonts w:cs="Arial"/>
                <w:b/>
                <w:i/>
                <w:sz w:val="18"/>
                <w:szCs w:val="18"/>
              </w:rPr>
              <w:t>.</w:t>
            </w:r>
            <w:r w:rsidRPr="00077D79">
              <w:rPr>
                <w:rFonts w:cs="Arial"/>
                <w:b/>
                <w:i/>
                <w:sz w:val="18"/>
                <w:szCs w:val="18"/>
              </w:rPr>
              <w:t>)</w:t>
            </w:r>
          </w:p>
        </w:tc>
      </w:tr>
      <w:tr w:rsidR="00542179" w:rsidRPr="007D5491" w:rsidTr="00931F8C">
        <w:tc>
          <w:tcPr>
            <w:tcW w:w="1660" w:type="pct"/>
          </w:tcPr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</w:tc>
        <w:tc>
          <w:tcPr>
            <w:tcW w:w="1600" w:type="pct"/>
          </w:tcPr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</w:tc>
        <w:tc>
          <w:tcPr>
            <w:tcW w:w="1740" w:type="pct"/>
          </w:tcPr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</w:tc>
      </w:tr>
    </w:tbl>
    <w:p w:rsidR="00542179" w:rsidRPr="00077D79" w:rsidRDefault="00542179" w:rsidP="0031054F">
      <w:pPr>
        <w:jc w:val="both"/>
        <w:rPr>
          <w:i/>
        </w:rPr>
      </w:pPr>
    </w:p>
    <w:p w:rsidR="0031054F" w:rsidRPr="00E9074E" w:rsidRDefault="0031054F" w:rsidP="0031054F">
      <w:pPr>
        <w:pStyle w:val="Titre2"/>
        <w:rPr>
          <w:rFonts w:eastAsia="Calibri"/>
          <w:color w:val="auto"/>
        </w:rPr>
      </w:pPr>
      <w:bookmarkStart w:id="6" w:name="_Toc376940004"/>
      <w:bookmarkStart w:id="7" w:name="_Toc381191557"/>
      <w:r w:rsidRPr="00E9074E">
        <w:rPr>
          <w:rFonts w:eastAsia="Calibri"/>
          <w:color w:val="auto"/>
        </w:rPr>
        <w:t>Calendrier prévisionnel et état d’avancement du projet</w:t>
      </w:r>
      <w:bookmarkEnd w:id="6"/>
      <w:bookmarkEnd w:id="7"/>
    </w:p>
    <w:p w:rsidR="0031054F" w:rsidRPr="00570D84" w:rsidRDefault="0031054F" w:rsidP="0031054F">
      <w:pPr>
        <w:rPr>
          <w:rFonts w:eastAsia="Arial Unicode MS" w:cs="Arial"/>
          <w:i/>
          <w:szCs w:val="20"/>
        </w:rPr>
      </w:pPr>
    </w:p>
    <w:p w:rsidR="0031054F" w:rsidRPr="00570D84" w:rsidRDefault="0031054F" w:rsidP="0031054F">
      <w:pPr>
        <w:jc w:val="both"/>
        <w:rPr>
          <w:rFonts w:eastAsia="Arial Unicode MS" w:cs="Arial"/>
          <w:i/>
          <w:szCs w:val="20"/>
        </w:rPr>
      </w:pPr>
      <w:r w:rsidRPr="00570D84">
        <w:rPr>
          <w:rFonts w:eastAsia="Arial Unicode MS" w:cs="Arial"/>
          <w:i/>
          <w:szCs w:val="20"/>
        </w:rPr>
        <w:t>L’</w:t>
      </w:r>
      <w:r w:rsidR="00542179">
        <w:rPr>
          <w:rFonts w:eastAsia="Arial Unicode MS" w:cs="Arial"/>
          <w:i/>
          <w:szCs w:val="20"/>
        </w:rPr>
        <w:t>établissement</w:t>
      </w:r>
      <w:r w:rsidRPr="00570D84">
        <w:rPr>
          <w:rFonts w:eastAsia="Arial Unicode MS" w:cs="Arial"/>
          <w:i/>
          <w:szCs w:val="20"/>
        </w:rPr>
        <w:t xml:space="preserve"> doit évaluer les hypothèses de calendrier détaillé</w:t>
      </w:r>
      <w:r w:rsidR="007E3D91" w:rsidRPr="00570D84">
        <w:rPr>
          <w:rFonts w:eastAsia="Arial Unicode MS" w:cs="Arial"/>
          <w:i/>
          <w:szCs w:val="20"/>
        </w:rPr>
        <w:t>es</w:t>
      </w:r>
      <w:r w:rsidRPr="00570D84">
        <w:rPr>
          <w:rFonts w:eastAsia="Arial Unicode MS" w:cs="Arial"/>
          <w:i/>
          <w:szCs w:val="20"/>
        </w:rPr>
        <w:t xml:space="preserve"> par l’établissement </w:t>
      </w:r>
      <w:r w:rsidR="007E3D91" w:rsidRPr="00570D84">
        <w:rPr>
          <w:rFonts w:eastAsia="Arial Unicode MS" w:cs="Arial"/>
          <w:i/>
          <w:szCs w:val="20"/>
        </w:rPr>
        <w:t xml:space="preserve">qui pourront être présentées </w:t>
      </w:r>
      <w:r w:rsidRPr="00570D84">
        <w:rPr>
          <w:rFonts w:eastAsia="Arial Unicode MS" w:cs="Arial"/>
          <w:i/>
          <w:szCs w:val="20"/>
        </w:rPr>
        <w:t xml:space="preserve">sous forme de diagramme de Gant </w:t>
      </w:r>
      <w:r w:rsidR="00404940" w:rsidRPr="00570D84">
        <w:rPr>
          <w:rFonts w:eastAsia="Arial Unicode MS" w:cs="Arial"/>
          <w:i/>
          <w:szCs w:val="20"/>
        </w:rPr>
        <w:t>(en distinguant les sous projets s’il y en a)</w:t>
      </w:r>
      <w:r w:rsidRPr="00570D84">
        <w:rPr>
          <w:rFonts w:eastAsia="Arial Unicode MS" w:cs="Arial"/>
          <w:i/>
          <w:szCs w:val="20"/>
        </w:rPr>
        <w:t>, en portant une appréciation sur les contraintes éventuelles.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E9074E" w:rsidRDefault="0031054F" w:rsidP="0031054F">
      <w:pPr>
        <w:pStyle w:val="Titre2"/>
        <w:jc w:val="both"/>
        <w:rPr>
          <w:rFonts w:eastAsia="Calibri"/>
          <w:color w:val="auto"/>
        </w:rPr>
      </w:pPr>
      <w:bookmarkStart w:id="8" w:name="_Toc376940005"/>
      <w:bookmarkStart w:id="9" w:name="_Toc381191558"/>
      <w:r w:rsidRPr="00E9074E">
        <w:rPr>
          <w:rFonts w:eastAsia="Calibri"/>
          <w:color w:val="auto"/>
        </w:rPr>
        <w:t>Caractère dissociable ou non des sous-opérations du projet</w:t>
      </w:r>
      <w:bookmarkEnd w:id="8"/>
      <w:r w:rsidRPr="00E9074E">
        <w:rPr>
          <w:rFonts w:eastAsia="Calibri"/>
          <w:color w:val="auto"/>
        </w:rPr>
        <w:t xml:space="preserve"> et modalités de continuité de fonctionnement de l’établissement, notamment en cas de restructuration</w:t>
      </w:r>
      <w:bookmarkEnd w:id="9"/>
    </w:p>
    <w:p w:rsidR="0031054F" w:rsidRDefault="0031054F" w:rsidP="0031054F">
      <w:pPr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Le caractère indissociable des différentes sous-opérations devra être impérativement étayé.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 xml:space="preserve">Pour chaque opération, il est par ailleurs attendu une évaluation précise du </w:t>
      </w:r>
      <w:r w:rsidRPr="004336F5">
        <w:rPr>
          <w:rFonts w:eastAsia="Arial Unicode MS" w:cs="Arial"/>
          <w:i/>
          <w:szCs w:val="20"/>
        </w:rPr>
        <w:t>phasage opérationnel des travaux</w:t>
      </w:r>
      <w:r>
        <w:rPr>
          <w:rFonts w:eastAsia="Arial Unicode MS" w:cs="Arial"/>
          <w:i/>
          <w:szCs w:val="20"/>
        </w:rPr>
        <w:t>, des</w:t>
      </w:r>
      <w:r w:rsidRPr="004336F5">
        <w:rPr>
          <w:rFonts w:eastAsia="Arial Unicode MS" w:cs="Arial"/>
          <w:i/>
          <w:szCs w:val="20"/>
        </w:rPr>
        <w:t xml:space="preserve"> modes opératoires envisagé</w:t>
      </w:r>
      <w:r>
        <w:rPr>
          <w:rFonts w:eastAsia="Arial Unicode MS" w:cs="Arial"/>
          <w:i/>
          <w:szCs w:val="20"/>
        </w:rPr>
        <w:t>s, ainsi que des modalités garantissant la continuité de l’exploitation.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Le réalisme et le chiffrage des pertes d’activité éventuelles doivent être évalués.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E9074E" w:rsidRDefault="0031054F" w:rsidP="0031054F">
      <w:pPr>
        <w:pStyle w:val="Titre2"/>
        <w:jc w:val="both"/>
        <w:rPr>
          <w:rFonts w:eastAsia="Calibri"/>
          <w:color w:val="auto"/>
        </w:rPr>
      </w:pPr>
      <w:bookmarkStart w:id="10" w:name="_Toc376940006"/>
      <w:bookmarkStart w:id="11" w:name="_Toc381191559"/>
      <w:r w:rsidRPr="00E9074E">
        <w:rPr>
          <w:rFonts w:eastAsia="Calibri"/>
          <w:color w:val="auto"/>
        </w:rPr>
        <w:lastRenderedPageBreak/>
        <w:t>Alternatives possibles au projet, compatibles avec les objectifs du schéma directeur de l’établissement et analyse de la pertinence du choix fait par l’établissement</w:t>
      </w:r>
      <w:bookmarkEnd w:id="10"/>
      <w:bookmarkEnd w:id="11"/>
      <w:r w:rsidRPr="00E9074E">
        <w:rPr>
          <w:rFonts w:eastAsia="Calibri"/>
          <w:color w:val="auto"/>
        </w:rPr>
        <w:t xml:space="preserve">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823CD1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Il s’agit d’analyser</w:t>
      </w:r>
      <w:r w:rsidRPr="00823CD1">
        <w:rPr>
          <w:rFonts w:eastAsia="Arial Unicode MS" w:cs="Arial"/>
          <w:i/>
          <w:szCs w:val="20"/>
        </w:rPr>
        <w:t xml:space="preserve"> les différentes options envisageables pour atteindre les objectifs du projet. Il </w:t>
      </w:r>
      <w:r>
        <w:rPr>
          <w:rFonts w:eastAsia="Arial Unicode MS" w:cs="Arial"/>
          <w:i/>
          <w:szCs w:val="20"/>
        </w:rPr>
        <w:t xml:space="preserve">convient </w:t>
      </w:r>
      <w:r w:rsidRPr="00823CD1">
        <w:rPr>
          <w:rFonts w:eastAsia="Arial Unicode MS" w:cs="Arial"/>
          <w:i/>
          <w:szCs w:val="20"/>
        </w:rPr>
        <w:t>notamment d’analyser</w:t>
      </w:r>
      <w:r>
        <w:rPr>
          <w:rFonts w:eastAsia="Arial Unicode MS" w:cs="Arial"/>
          <w:i/>
          <w:szCs w:val="20"/>
        </w:rPr>
        <w:t xml:space="preserve"> successivement</w:t>
      </w:r>
      <w:r w:rsidRPr="00823CD1">
        <w:rPr>
          <w:rFonts w:eastAsia="Arial Unicode MS" w:cs="Arial"/>
          <w:i/>
          <w:szCs w:val="20"/>
        </w:rPr>
        <w:t xml:space="preserve"> les alternatives</w:t>
      </w:r>
      <w:r>
        <w:rPr>
          <w:rFonts w:eastAsia="Arial Unicode MS" w:cs="Arial"/>
          <w:i/>
          <w:szCs w:val="20"/>
        </w:rPr>
        <w:t xml:space="preserve"> suivantes</w:t>
      </w:r>
      <w:r w:rsidRPr="00823CD1">
        <w:rPr>
          <w:rFonts w:eastAsia="Arial Unicode MS" w:cs="Arial"/>
          <w:i/>
          <w:szCs w:val="20"/>
        </w:rPr>
        <w:t xml:space="preserve"> :</w:t>
      </w:r>
    </w:p>
    <w:p w:rsidR="0031054F" w:rsidRPr="00823CD1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>Réaliser ou ne pas réaliser le projet ;</w:t>
      </w:r>
    </w:p>
    <w:p w:rsidR="0031054F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 xml:space="preserve">Choisir entre rénovation/restructuration </w:t>
      </w:r>
      <w:r>
        <w:rPr>
          <w:rFonts w:eastAsia="Arial Unicode MS" w:cs="Arial"/>
          <w:i/>
          <w:szCs w:val="20"/>
        </w:rPr>
        <w:t>ou</w:t>
      </w:r>
      <w:r w:rsidRPr="00823CD1">
        <w:rPr>
          <w:rFonts w:eastAsia="Arial Unicode MS" w:cs="Arial"/>
          <w:i/>
          <w:szCs w:val="20"/>
        </w:rPr>
        <w:t xml:space="preserve"> reconstruction ;</w:t>
      </w:r>
    </w:p>
    <w:p w:rsidR="0031054F" w:rsidRPr="00AF164A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AF164A">
        <w:rPr>
          <w:rFonts w:eastAsia="Arial Unicode MS" w:cs="Arial"/>
          <w:i/>
          <w:szCs w:val="20"/>
        </w:rPr>
        <w:t>Les différents scénarii en termes de périmètre d’activité (complémentarité avec les autres acteurs</w:t>
      </w:r>
      <w:r>
        <w:rPr>
          <w:rFonts w:eastAsia="Arial Unicode MS" w:cs="Arial"/>
          <w:i/>
          <w:szCs w:val="20"/>
        </w:rPr>
        <w:t xml:space="preserve"> et </w:t>
      </w:r>
      <w:r w:rsidRPr="00AF164A">
        <w:rPr>
          <w:rFonts w:eastAsia="Arial Unicode MS" w:cs="Arial"/>
          <w:i/>
          <w:szCs w:val="20"/>
        </w:rPr>
        <w:t>augmentation ou réduction du périmètre des activités) ;</w:t>
      </w:r>
    </w:p>
    <w:p w:rsidR="0031054F" w:rsidRPr="00823CD1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>Mobilisation ou non du patrimoine existant.</w:t>
      </w:r>
    </w:p>
    <w:p w:rsidR="0031054F" w:rsidRPr="00823CD1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Pr="00E9074E" w:rsidRDefault="0031054F" w:rsidP="0031054F">
      <w:pPr>
        <w:pStyle w:val="Titre2"/>
        <w:jc w:val="both"/>
        <w:rPr>
          <w:rFonts w:eastAsia="Calibri"/>
          <w:color w:val="auto"/>
        </w:rPr>
      </w:pPr>
      <w:bookmarkStart w:id="12" w:name="_Toc376940007"/>
      <w:bookmarkStart w:id="13" w:name="_Toc381191560"/>
      <w:r w:rsidRPr="00E9074E">
        <w:rPr>
          <w:rFonts w:eastAsia="Calibri"/>
          <w:color w:val="auto"/>
        </w:rPr>
        <w:t>Justification de la procédure retenue (MOP classique, conception-réalisation, conception-réalisation-maintenance, PPP)</w:t>
      </w:r>
      <w:bookmarkEnd w:id="12"/>
      <w:bookmarkEnd w:id="13"/>
    </w:p>
    <w:p w:rsidR="0031054F" w:rsidRPr="00E9074E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E9074E" w:rsidRDefault="0031054F" w:rsidP="0031054F">
      <w:pPr>
        <w:pStyle w:val="Titre2"/>
        <w:rPr>
          <w:rFonts w:eastAsia="Calibri"/>
          <w:color w:val="auto"/>
        </w:rPr>
      </w:pPr>
      <w:bookmarkStart w:id="14" w:name="_Toc376937478"/>
      <w:bookmarkStart w:id="15" w:name="_Toc376938407"/>
      <w:bookmarkStart w:id="16" w:name="_Toc376939335"/>
      <w:bookmarkStart w:id="17" w:name="_Toc376937480"/>
      <w:bookmarkStart w:id="18" w:name="_Toc376938409"/>
      <w:bookmarkStart w:id="19" w:name="_Toc376939337"/>
      <w:bookmarkStart w:id="20" w:name="_Toc376937508"/>
      <w:bookmarkStart w:id="21" w:name="_Toc376938437"/>
      <w:bookmarkStart w:id="22" w:name="_Toc376939365"/>
      <w:bookmarkStart w:id="23" w:name="_Toc376937509"/>
      <w:bookmarkStart w:id="24" w:name="_Toc376938438"/>
      <w:bookmarkStart w:id="25" w:name="_Toc376939366"/>
      <w:bookmarkStart w:id="26" w:name="_Toc376937511"/>
      <w:bookmarkStart w:id="27" w:name="_Toc376938440"/>
      <w:bookmarkStart w:id="28" w:name="_Toc376939368"/>
      <w:bookmarkStart w:id="29" w:name="_Toc376937512"/>
      <w:bookmarkStart w:id="30" w:name="_Toc376938441"/>
      <w:bookmarkStart w:id="31" w:name="_Toc376939369"/>
      <w:bookmarkStart w:id="32" w:name="_Toc376937514"/>
      <w:bookmarkStart w:id="33" w:name="_Toc376938443"/>
      <w:bookmarkStart w:id="34" w:name="_Toc376939371"/>
      <w:bookmarkStart w:id="35" w:name="_Toc376937515"/>
      <w:bookmarkStart w:id="36" w:name="_Toc376938444"/>
      <w:bookmarkStart w:id="37" w:name="_Toc376939372"/>
      <w:bookmarkStart w:id="38" w:name="_Toc376937516"/>
      <w:bookmarkStart w:id="39" w:name="_Toc376938445"/>
      <w:bookmarkStart w:id="40" w:name="_Toc376939373"/>
      <w:bookmarkStart w:id="41" w:name="_Toc376937815"/>
      <w:bookmarkStart w:id="42" w:name="_Toc376938744"/>
      <w:bookmarkStart w:id="43" w:name="_Toc376939672"/>
      <w:bookmarkStart w:id="44" w:name="_Toc376937817"/>
      <w:bookmarkStart w:id="45" w:name="_Toc376938746"/>
      <w:bookmarkStart w:id="46" w:name="_Toc376939674"/>
      <w:bookmarkStart w:id="47" w:name="_Toc376937857"/>
      <w:bookmarkStart w:id="48" w:name="_Toc376938786"/>
      <w:bookmarkStart w:id="49" w:name="_Toc376939714"/>
      <w:bookmarkStart w:id="50" w:name="_Toc376937859"/>
      <w:bookmarkStart w:id="51" w:name="_Toc376938788"/>
      <w:bookmarkStart w:id="52" w:name="_Toc376939716"/>
      <w:bookmarkStart w:id="53" w:name="_Toc376937866"/>
      <w:bookmarkStart w:id="54" w:name="_Toc376938795"/>
      <w:bookmarkStart w:id="55" w:name="_Toc376939723"/>
      <w:bookmarkStart w:id="56" w:name="_Toc376937868"/>
      <w:bookmarkStart w:id="57" w:name="_Toc376938797"/>
      <w:bookmarkStart w:id="58" w:name="_Toc376939725"/>
      <w:bookmarkStart w:id="59" w:name="_Toc376937927"/>
      <w:bookmarkStart w:id="60" w:name="_Toc376938856"/>
      <w:bookmarkStart w:id="61" w:name="_Toc376939784"/>
      <w:bookmarkStart w:id="62" w:name="_Toc376937929"/>
      <w:bookmarkStart w:id="63" w:name="_Toc376938858"/>
      <w:bookmarkStart w:id="64" w:name="_Toc376939786"/>
      <w:bookmarkStart w:id="65" w:name="_Toc376937930"/>
      <w:bookmarkStart w:id="66" w:name="_Toc376938859"/>
      <w:bookmarkStart w:id="67" w:name="_Toc376939787"/>
      <w:bookmarkStart w:id="68" w:name="_Toc376937931"/>
      <w:bookmarkStart w:id="69" w:name="_Toc376938860"/>
      <w:bookmarkStart w:id="70" w:name="_Toc376939788"/>
      <w:bookmarkStart w:id="71" w:name="_Toc376937958"/>
      <w:bookmarkStart w:id="72" w:name="_Toc376938887"/>
      <w:bookmarkStart w:id="73" w:name="_Toc376939815"/>
      <w:bookmarkStart w:id="74" w:name="_Toc376937959"/>
      <w:bookmarkStart w:id="75" w:name="_Toc376938888"/>
      <w:bookmarkStart w:id="76" w:name="_Toc376939816"/>
      <w:bookmarkStart w:id="77" w:name="_Toc376937961"/>
      <w:bookmarkStart w:id="78" w:name="_Toc376938890"/>
      <w:bookmarkStart w:id="79" w:name="_Toc376939818"/>
      <w:bookmarkStart w:id="80" w:name="_Toc376937962"/>
      <w:bookmarkStart w:id="81" w:name="_Toc376938891"/>
      <w:bookmarkStart w:id="82" w:name="_Toc376939819"/>
      <w:bookmarkStart w:id="83" w:name="_Toc376937963"/>
      <w:bookmarkStart w:id="84" w:name="_Toc376938892"/>
      <w:bookmarkStart w:id="85" w:name="_Toc376939820"/>
      <w:bookmarkStart w:id="86" w:name="_Toc376937964"/>
      <w:bookmarkStart w:id="87" w:name="_Toc376938893"/>
      <w:bookmarkStart w:id="88" w:name="_Toc376939821"/>
      <w:bookmarkStart w:id="89" w:name="_Toc376937976"/>
      <w:bookmarkStart w:id="90" w:name="_Toc376938905"/>
      <w:bookmarkStart w:id="91" w:name="_Toc376939833"/>
      <w:bookmarkStart w:id="92" w:name="_Toc376937996"/>
      <w:bookmarkStart w:id="93" w:name="_Toc376938925"/>
      <w:bookmarkStart w:id="94" w:name="_Toc376939853"/>
      <w:bookmarkStart w:id="95" w:name="_Toc376938016"/>
      <w:bookmarkStart w:id="96" w:name="_Toc376938945"/>
      <w:bookmarkStart w:id="97" w:name="_Toc376939873"/>
      <w:bookmarkStart w:id="98" w:name="_Toc376938036"/>
      <w:bookmarkStart w:id="99" w:name="_Toc376938965"/>
      <w:bookmarkStart w:id="100" w:name="_Toc376939893"/>
      <w:bookmarkStart w:id="101" w:name="_Toc376938056"/>
      <w:bookmarkStart w:id="102" w:name="_Toc376938985"/>
      <w:bookmarkStart w:id="103" w:name="_Toc376939913"/>
      <w:bookmarkStart w:id="104" w:name="_Toc376938076"/>
      <w:bookmarkStart w:id="105" w:name="_Toc376939005"/>
      <w:bookmarkStart w:id="106" w:name="_Toc376939933"/>
      <w:bookmarkStart w:id="107" w:name="_Toc376938096"/>
      <w:bookmarkStart w:id="108" w:name="_Toc376939025"/>
      <w:bookmarkStart w:id="109" w:name="_Toc376939953"/>
      <w:bookmarkStart w:id="110" w:name="_Toc376938116"/>
      <w:bookmarkStart w:id="111" w:name="_Toc376939045"/>
      <w:bookmarkStart w:id="112" w:name="_Toc376939973"/>
      <w:bookmarkStart w:id="113" w:name="_Toc376938117"/>
      <w:bookmarkStart w:id="114" w:name="_Toc376939046"/>
      <w:bookmarkStart w:id="115" w:name="_Toc376939974"/>
      <w:bookmarkStart w:id="116" w:name="_Toc376938118"/>
      <w:bookmarkStart w:id="117" w:name="_Toc376939047"/>
      <w:bookmarkStart w:id="118" w:name="_Toc376939975"/>
      <w:bookmarkStart w:id="119" w:name="_Toc376938119"/>
      <w:bookmarkStart w:id="120" w:name="_Toc376939048"/>
      <w:bookmarkStart w:id="121" w:name="_Toc376939976"/>
      <w:bookmarkStart w:id="122" w:name="_Toc376938120"/>
      <w:bookmarkStart w:id="123" w:name="_Toc376939049"/>
      <w:bookmarkStart w:id="124" w:name="_Toc376939977"/>
      <w:bookmarkStart w:id="125" w:name="_Toc376938121"/>
      <w:bookmarkStart w:id="126" w:name="_Toc376939050"/>
      <w:bookmarkStart w:id="127" w:name="_Toc376939978"/>
      <w:bookmarkStart w:id="128" w:name="_Toc376940008"/>
      <w:bookmarkStart w:id="129" w:name="_Toc38119156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E9074E">
        <w:rPr>
          <w:rFonts w:eastAsia="Calibri"/>
          <w:color w:val="auto"/>
        </w:rPr>
        <w:t>Cartographie et maîtrise des principaux risques</w:t>
      </w:r>
      <w:bookmarkEnd w:id="128"/>
      <w:bookmarkEnd w:id="129"/>
      <w:r w:rsidRPr="00E9074E">
        <w:rPr>
          <w:rFonts w:eastAsia="Calibri"/>
          <w:color w:val="auto"/>
        </w:rPr>
        <w:t xml:space="preserve"> </w:t>
      </w:r>
    </w:p>
    <w:p w:rsidR="0031054F" w:rsidRDefault="0031054F" w:rsidP="0031054F">
      <w:pPr>
        <w:pStyle w:val="Paragraphedeliste"/>
        <w:suppressAutoHyphens w:val="0"/>
        <w:ind w:left="0"/>
        <w:contextualSpacing/>
        <w:rPr>
          <w:rFonts w:cs="Arial"/>
          <w:i/>
          <w:szCs w:val="20"/>
        </w:rPr>
      </w:pPr>
    </w:p>
    <w:p w:rsidR="0031054F" w:rsidRDefault="0031054F" w:rsidP="0031054F">
      <w:pPr>
        <w:pStyle w:val="Paragraphedeliste"/>
        <w:suppressAutoHyphens w:val="0"/>
        <w:ind w:left="0"/>
        <w:contextualSpacing/>
        <w:rPr>
          <w:rFonts w:eastAsia="Arial Unicode MS" w:cs="Arial"/>
          <w:szCs w:val="20"/>
        </w:rPr>
      </w:pPr>
      <w:r>
        <w:rPr>
          <w:rFonts w:cs="Arial"/>
          <w:i/>
          <w:szCs w:val="20"/>
        </w:rPr>
        <w:t>L’</w:t>
      </w:r>
      <w:r w:rsidR="00E9074E">
        <w:rPr>
          <w:rFonts w:cs="Arial"/>
          <w:i/>
          <w:szCs w:val="20"/>
        </w:rPr>
        <w:t>établissement</w:t>
      </w:r>
      <w:r>
        <w:rPr>
          <w:rFonts w:cs="Arial"/>
          <w:i/>
          <w:szCs w:val="20"/>
        </w:rPr>
        <w:t xml:space="preserve"> doit évaluer l’analyse et la maîtrise des </w:t>
      </w:r>
      <w:r w:rsidRPr="00A57FEF">
        <w:rPr>
          <w:rFonts w:cs="Arial"/>
          <w:i/>
          <w:szCs w:val="20"/>
        </w:rPr>
        <w:t xml:space="preserve">principaux risques </w:t>
      </w:r>
      <w:r>
        <w:rPr>
          <w:rFonts w:cs="Arial"/>
          <w:i/>
          <w:szCs w:val="20"/>
        </w:rPr>
        <w:t>du</w:t>
      </w:r>
      <w:r w:rsidRPr="00A57FEF">
        <w:rPr>
          <w:rFonts w:cs="Arial"/>
          <w:i/>
          <w:szCs w:val="20"/>
        </w:rPr>
        <w:t xml:space="preserve"> projet</w:t>
      </w:r>
      <w:r>
        <w:rPr>
          <w:rFonts w:cs="Arial"/>
          <w:i/>
          <w:szCs w:val="20"/>
        </w:rPr>
        <w:t xml:space="preserve"> : </w:t>
      </w:r>
      <w:r w:rsidRPr="00A57FEF">
        <w:rPr>
          <w:rFonts w:cs="Arial"/>
          <w:i/>
          <w:szCs w:val="20"/>
        </w:rPr>
        <w:t>risques organisationnels et humain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 xml:space="preserve"> risques</w:t>
      </w:r>
      <w:r w:rsidRPr="00A57FEF">
        <w:rPr>
          <w:rFonts w:cs="Arial"/>
          <w:i/>
          <w:szCs w:val="20"/>
        </w:rPr>
        <w:t xml:space="preserve"> technique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>modalités de</w:t>
      </w:r>
      <w:r w:rsidRPr="00A57FEF">
        <w:rPr>
          <w:rFonts w:cs="Arial"/>
          <w:i/>
          <w:szCs w:val="20"/>
        </w:rPr>
        <w:t xml:space="preserve"> financement, </w:t>
      </w:r>
      <w:r>
        <w:rPr>
          <w:rFonts w:cs="Arial"/>
          <w:i/>
          <w:szCs w:val="20"/>
        </w:rPr>
        <w:t xml:space="preserve">risques </w:t>
      </w:r>
      <w:r w:rsidRPr="00A57FEF">
        <w:rPr>
          <w:rFonts w:cs="Arial"/>
          <w:i/>
          <w:szCs w:val="20"/>
        </w:rPr>
        <w:t>lié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 xml:space="preserve"> à des tiers, </w:t>
      </w:r>
      <w:r w:rsidRPr="0031054F">
        <w:rPr>
          <w:rFonts w:cs="Arial"/>
          <w:i/>
          <w:szCs w:val="20"/>
        </w:rPr>
        <w:t>juridiques. Il s’agit d’une cartographie permettant d’avoir une vision synthétique. Chacun des risques pourra être détaillé dans les différentes parties du rapport.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rPr>
          <w:rFonts w:eastAsia="Calibri"/>
        </w:rPr>
      </w:pPr>
      <w:bookmarkStart w:id="130" w:name="_Toc377127067"/>
      <w:bookmarkStart w:id="131" w:name="_Toc377127998"/>
      <w:bookmarkStart w:id="132" w:name="_Toc377128925"/>
      <w:bookmarkStart w:id="133" w:name="_Toc377127069"/>
      <w:bookmarkStart w:id="134" w:name="_Toc377128000"/>
      <w:bookmarkStart w:id="135" w:name="_Toc377128927"/>
      <w:bookmarkStart w:id="136" w:name="_Toc377127097"/>
      <w:bookmarkStart w:id="137" w:name="_Toc377128028"/>
      <w:bookmarkStart w:id="138" w:name="_Toc377128955"/>
      <w:bookmarkStart w:id="139" w:name="_Toc377127098"/>
      <w:bookmarkStart w:id="140" w:name="_Toc377128029"/>
      <w:bookmarkStart w:id="141" w:name="_Toc377128956"/>
      <w:bookmarkStart w:id="142" w:name="_Toc377127100"/>
      <w:bookmarkStart w:id="143" w:name="_Toc377128031"/>
      <w:bookmarkStart w:id="144" w:name="_Toc377128958"/>
      <w:bookmarkStart w:id="145" w:name="_Toc377127101"/>
      <w:bookmarkStart w:id="146" w:name="_Toc377128032"/>
      <w:bookmarkStart w:id="147" w:name="_Toc377128959"/>
      <w:bookmarkStart w:id="148" w:name="_Toc377127103"/>
      <w:bookmarkStart w:id="149" w:name="_Toc377128034"/>
      <w:bookmarkStart w:id="150" w:name="_Toc377128961"/>
      <w:bookmarkStart w:id="151" w:name="_Toc377127104"/>
      <w:bookmarkStart w:id="152" w:name="_Toc377128035"/>
      <w:bookmarkStart w:id="153" w:name="_Toc377128962"/>
      <w:bookmarkStart w:id="154" w:name="_Toc377127105"/>
      <w:bookmarkStart w:id="155" w:name="_Toc377128036"/>
      <w:bookmarkStart w:id="156" w:name="_Toc377128963"/>
      <w:bookmarkStart w:id="157" w:name="_Toc377127404"/>
      <w:bookmarkStart w:id="158" w:name="_Toc377128335"/>
      <w:bookmarkStart w:id="159" w:name="_Toc377129262"/>
      <w:bookmarkStart w:id="160" w:name="_Toc377127406"/>
      <w:bookmarkStart w:id="161" w:name="_Toc377128337"/>
      <w:bookmarkStart w:id="162" w:name="_Toc377129264"/>
      <w:bookmarkStart w:id="163" w:name="_Toc377127446"/>
      <w:bookmarkStart w:id="164" w:name="_Toc377128377"/>
      <w:bookmarkStart w:id="165" w:name="_Toc377129304"/>
      <w:bookmarkStart w:id="166" w:name="_Toc377127448"/>
      <w:bookmarkStart w:id="167" w:name="_Toc377128379"/>
      <w:bookmarkStart w:id="168" w:name="_Toc377129306"/>
      <w:bookmarkStart w:id="169" w:name="_Toc377127455"/>
      <w:bookmarkStart w:id="170" w:name="_Toc377128386"/>
      <w:bookmarkStart w:id="171" w:name="_Toc377129313"/>
      <w:bookmarkStart w:id="172" w:name="_Toc377127457"/>
      <w:bookmarkStart w:id="173" w:name="_Toc377128388"/>
      <w:bookmarkStart w:id="174" w:name="_Toc377129315"/>
      <w:bookmarkStart w:id="175" w:name="_Toc377127516"/>
      <w:bookmarkStart w:id="176" w:name="_Toc377128447"/>
      <w:bookmarkStart w:id="177" w:name="_Toc377129374"/>
      <w:bookmarkStart w:id="178" w:name="_Toc377127518"/>
      <w:bookmarkStart w:id="179" w:name="_Toc377128449"/>
      <w:bookmarkStart w:id="180" w:name="_Toc377129376"/>
      <w:bookmarkStart w:id="181" w:name="_Toc377127519"/>
      <w:bookmarkStart w:id="182" w:name="_Toc377128450"/>
      <w:bookmarkStart w:id="183" w:name="_Toc377129377"/>
      <w:bookmarkStart w:id="184" w:name="_Toc377127520"/>
      <w:bookmarkStart w:id="185" w:name="_Toc377128451"/>
      <w:bookmarkStart w:id="186" w:name="_Toc377129378"/>
      <w:bookmarkStart w:id="187" w:name="_Toc377127547"/>
      <w:bookmarkStart w:id="188" w:name="_Toc377128478"/>
      <w:bookmarkStart w:id="189" w:name="_Toc377129405"/>
      <w:bookmarkStart w:id="190" w:name="_Toc377127548"/>
      <w:bookmarkStart w:id="191" w:name="_Toc377128479"/>
      <w:bookmarkStart w:id="192" w:name="_Toc377129406"/>
      <w:bookmarkStart w:id="193" w:name="_Toc377127550"/>
      <w:bookmarkStart w:id="194" w:name="_Toc377128481"/>
      <w:bookmarkStart w:id="195" w:name="_Toc377129408"/>
      <w:bookmarkStart w:id="196" w:name="_Toc377127551"/>
      <w:bookmarkStart w:id="197" w:name="_Toc377128482"/>
      <w:bookmarkStart w:id="198" w:name="_Toc377129409"/>
      <w:bookmarkStart w:id="199" w:name="_Toc377127552"/>
      <w:bookmarkStart w:id="200" w:name="_Toc377128483"/>
      <w:bookmarkStart w:id="201" w:name="_Toc377129410"/>
      <w:bookmarkStart w:id="202" w:name="_Toc377127553"/>
      <w:bookmarkStart w:id="203" w:name="_Toc377128484"/>
      <w:bookmarkStart w:id="204" w:name="_Toc377129411"/>
      <w:bookmarkStart w:id="205" w:name="_Toc377127565"/>
      <w:bookmarkStart w:id="206" w:name="_Toc377128496"/>
      <w:bookmarkStart w:id="207" w:name="_Toc377129423"/>
      <w:bookmarkStart w:id="208" w:name="_Toc377127585"/>
      <w:bookmarkStart w:id="209" w:name="_Toc377128516"/>
      <w:bookmarkStart w:id="210" w:name="_Toc377129443"/>
      <w:bookmarkStart w:id="211" w:name="_Toc377127605"/>
      <w:bookmarkStart w:id="212" w:name="_Toc377128536"/>
      <w:bookmarkStart w:id="213" w:name="_Toc377129463"/>
      <w:bookmarkStart w:id="214" w:name="_Toc377127625"/>
      <w:bookmarkStart w:id="215" w:name="_Toc377128556"/>
      <w:bookmarkStart w:id="216" w:name="_Toc377129483"/>
      <w:bookmarkStart w:id="217" w:name="_Toc377127645"/>
      <w:bookmarkStart w:id="218" w:name="_Toc377128576"/>
      <w:bookmarkStart w:id="219" w:name="_Toc377129503"/>
      <w:bookmarkStart w:id="220" w:name="_Toc377127665"/>
      <w:bookmarkStart w:id="221" w:name="_Toc377128596"/>
      <w:bookmarkStart w:id="222" w:name="_Toc377129523"/>
      <w:bookmarkStart w:id="223" w:name="_Toc377127685"/>
      <w:bookmarkStart w:id="224" w:name="_Toc377128616"/>
      <w:bookmarkStart w:id="225" w:name="_Toc377129543"/>
      <w:bookmarkStart w:id="226" w:name="_Toc377127705"/>
      <w:bookmarkStart w:id="227" w:name="_Toc377128636"/>
      <w:bookmarkStart w:id="228" w:name="_Toc377129563"/>
      <w:bookmarkStart w:id="229" w:name="_Toc377127706"/>
      <w:bookmarkStart w:id="230" w:name="_Toc377128637"/>
      <w:bookmarkStart w:id="231" w:name="_Toc377129564"/>
      <w:bookmarkStart w:id="232" w:name="_Toc377127707"/>
      <w:bookmarkStart w:id="233" w:name="_Toc377128638"/>
      <w:bookmarkStart w:id="234" w:name="_Toc377129565"/>
      <w:bookmarkStart w:id="235" w:name="_Toc377127708"/>
      <w:bookmarkStart w:id="236" w:name="_Toc377128639"/>
      <w:bookmarkStart w:id="237" w:name="_Toc377129566"/>
      <w:bookmarkStart w:id="238" w:name="_Toc377127709"/>
      <w:bookmarkStart w:id="239" w:name="_Toc377128640"/>
      <w:bookmarkStart w:id="240" w:name="_Toc377129567"/>
      <w:bookmarkStart w:id="241" w:name="_Toc377127710"/>
      <w:bookmarkStart w:id="242" w:name="_Toc377128641"/>
      <w:bookmarkStart w:id="243" w:name="_Toc377129568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31054F" w:rsidRDefault="0031054F" w:rsidP="0031054F">
      <w:pPr>
        <w:rPr>
          <w:rFonts w:eastAsia="Calibri"/>
        </w:rPr>
      </w:pPr>
      <w:r>
        <w:rPr>
          <w:rFonts w:eastAsia="Calibri"/>
        </w:rPr>
        <w:br w:type="page"/>
      </w:r>
    </w:p>
    <w:p w:rsidR="0031054F" w:rsidRPr="00E667D4" w:rsidRDefault="0031054F" w:rsidP="0031054F">
      <w:pPr>
        <w:pStyle w:val="Titre1"/>
        <w:jc w:val="both"/>
      </w:pPr>
      <w:bookmarkStart w:id="244" w:name="_Toc381191562"/>
      <w:r w:rsidRPr="00E667D4">
        <w:lastRenderedPageBreak/>
        <w:t>Analyse de la cohérence du projet avec l’organisation territoriale de l’offre de soins</w:t>
      </w:r>
      <w:bookmarkEnd w:id="244"/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7D5491" w:rsidRDefault="0031054F" w:rsidP="0031054F">
      <w:pPr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 xml:space="preserve">Cette partie </w:t>
      </w:r>
      <w:r>
        <w:rPr>
          <w:rFonts w:cs="Arial"/>
          <w:i/>
          <w:szCs w:val="20"/>
        </w:rPr>
        <w:t>vise à appréhender la manière dont le projet d’investissement de l’établissement s’inscrit dans l’organisation territoriale de l’offre de soins et répond aux besoins de santé de la population.</w:t>
      </w:r>
    </w:p>
    <w:p w:rsidR="0031054F" w:rsidRPr="00E9074E" w:rsidRDefault="0031054F" w:rsidP="0031054F">
      <w:pPr>
        <w:pStyle w:val="Titre2"/>
        <w:jc w:val="both"/>
        <w:rPr>
          <w:rFonts w:eastAsia="Calibri"/>
          <w:color w:val="auto"/>
        </w:rPr>
      </w:pPr>
      <w:bookmarkStart w:id="245" w:name="_Toc381191563"/>
      <w:r w:rsidRPr="00E9074E">
        <w:rPr>
          <w:rFonts w:eastAsia="Calibri"/>
          <w:color w:val="auto"/>
        </w:rPr>
        <w:t>Évolution de la population, de sa structure et de son état de santé à l’horizon 2025/2030 sur le bassin/territoire de santé</w:t>
      </w:r>
      <w:bookmarkEnd w:id="245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C5688">
        <w:rPr>
          <w:rFonts w:ascii="Arial" w:eastAsia="Calibri" w:hAnsi="Arial" w:cs="Arial"/>
          <w:i/>
          <w:sz w:val="20"/>
          <w:szCs w:val="20"/>
        </w:rPr>
        <w:t xml:space="preserve">Cette rubrique vise à </w:t>
      </w:r>
      <w:r>
        <w:rPr>
          <w:rFonts w:ascii="Arial" w:eastAsia="Calibri" w:hAnsi="Arial" w:cs="Arial"/>
          <w:i/>
          <w:sz w:val="20"/>
          <w:szCs w:val="20"/>
        </w:rPr>
        <w:t>évaluer</w:t>
      </w:r>
      <w:r w:rsidRPr="007C5688">
        <w:rPr>
          <w:rFonts w:ascii="Arial" w:eastAsia="Calibri" w:hAnsi="Arial" w:cs="Arial"/>
          <w:i/>
          <w:sz w:val="20"/>
          <w:szCs w:val="20"/>
        </w:rPr>
        <w:t xml:space="preserve"> les données démographiques</w:t>
      </w:r>
      <w:r>
        <w:rPr>
          <w:rFonts w:ascii="Arial" w:eastAsia="Calibri" w:hAnsi="Arial" w:cs="Arial"/>
          <w:i/>
          <w:sz w:val="20"/>
          <w:szCs w:val="20"/>
        </w:rPr>
        <w:t xml:space="preserve"> (évolution et caractéristiques de la population, taux de mortalités prématurées et facteurs, espérance de vie, etc.)</w:t>
      </w:r>
      <w:r w:rsidRPr="007C5688">
        <w:rPr>
          <w:rFonts w:ascii="Arial" w:eastAsia="Calibri" w:hAnsi="Arial" w:cs="Arial"/>
          <w:i/>
          <w:sz w:val="20"/>
          <w:szCs w:val="20"/>
        </w:rPr>
        <w:t xml:space="preserve"> du territoire de santé pouvant affecter l’activité de l’établissement à moyen-long terme</w:t>
      </w:r>
      <w:r>
        <w:rPr>
          <w:rFonts w:ascii="Arial" w:eastAsia="Calibri" w:hAnsi="Arial" w:cs="Arial"/>
          <w:i/>
          <w:sz w:val="20"/>
          <w:szCs w:val="20"/>
        </w:rPr>
        <w:t xml:space="preserve"> et le dimensionnement capacitaire du projet en fonction du case-mix envisagé par l’établissement.</w:t>
      </w:r>
      <w:r w:rsidRPr="007C568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136ED">
        <w:rPr>
          <w:rFonts w:ascii="Arial" w:eastAsia="Calibri" w:hAnsi="Arial" w:cs="Arial"/>
          <w:i/>
          <w:sz w:val="20"/>
          <w:szCs w:val="20"/>
        </w:rPr>
        <w:t>L’</w:t>
      </w:r>
      <w:r w:rsidR="00E9074E">
        <w:rPr>
          <w:rFonts w:ascii="Arial" w:eastAsia="Calibri" w:hAnsi="Arial" w:cs="Arial"/>
          <w:i/>
          <w:sz w:val="20"/>
          <w:szCs w:val="20"/>
        </w:rPr>
        <w:t>établissement</w:t>
      </w:r>
      <w:r w:rsidRPr="00D136ED">
        <w:rPr>
          <w:rFonts w:ascii="Arial" w:eastAsia="Calibri" w:hAnsi="Arial" w:cs="Arial"/>
          <w:i/>
          <w:sz w:val="20"/>
          <w:szCs w:val="20"/>
        </w:rPr>
        <w:t xml:space="preserve"> analysera </w:t>
      </w:r>
      <w:r>
        <w:rPr>
          <w:rFonts w:ascii="Arial" w:eastAsia="Calibri" w:hAnsi="Arial" w:cs="Arial"/>
          <w:i/>
          <w:sz w:val="20"/>
          <w:szCs w:val="20"/>
        </w:rPr>
        <w:t xml:space="preserve">ainsi </w:t>
      </w:r>
      <w:r w:rsidRPr="003D0759">
        <w:rPr>
          <w:rFonts w:ascii="Arial" w:eastAsia="Calibri" w:hAnsi="Arial" w:cs="Arial"/>
          <w:i/>
          <w:sz w:val="20"/>
          <w:szCs w:val="20"/>
        </w:rPr>
        <w:t>les impacts</w:t>
      </w:r>
      <w:r>
        <w:rPr>
          <w:rFonts w:ascii="Arial" w:eastAsia="Calibri" w:hAnsi="Arial" w:cs="Arial"/>
          <w:i/>
          <w:sz w:val="20"/>
          <w:szCs w:val="20"/>
        </w:rPr>
        <w:t xml:space="preserve"> potentiels</w:t>
      </w:r>
      <w:r w:rsidRPr="003D0759">
        <w:rPr>
          <w:rFonts w:ascii="Arial" w:eastAsia="Calibri" w:hAnsi="Arial" w:cs="Arial"/>
          <w:i/>
          <w:sz w:val="20"/>
          <w:szCs w:val="20"/>
        </w:rPr>
        <w:t xml:space="preserve"> que peuvent avoi</w:t>
      </w:r>
      <w:r>
        <w:rPr>
          <w:rFonts w:ascii="Arial" w:eastAsia="Calibri" w:hAnsi="Arial" w:cs="Arial"/>
          <w:i/>
          <w:sz w:val="20"/>
          <w:szCs w:val="20"/>
        </w:rPr>
        <w:t xml:space="preserve">r les évolutions démographiques </w:t>
      </w:r>
      <w:r w:rsidRPr="007C5688">
        <w:rPr>
          <w:rFonts w:ascii="Arial" w:eastAsia="Calibri" w:hAnsi="Arial" w:cs="Arial"/>
          <w:i/>
          <w:sz w:val="20"/>
          <w:szCs w:val="20"/>
        </w:rPr>
        <w:t>sur le projet d’investissement.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E9074E" w:rsidRDefault="00E9074E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E9074E" w:rsidRDefault="00E9074E" w:rsidP="00E9074E">
      <w:pPr>
        <w:pStyle w:val="Citation"/>
        <w:spacing w:after="0"/>
        <w:ind w:left="0" w:right="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D02A3E">
        <w:rPr>
          <w:rFonts w:ascii="Arial" w:eastAsia="Calibri" w:hAnsi="Arial" w:cs="Arial"/>
          <w:b/>
          <w:i/>
          <w:sz w:val="20"/>
          <w:szCs w:val="20"/>
        </w:rPr>
        <w:t>Projection de population à l’horizon 2030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sur le territoire de santé</w:t>
      </w:r>
    </w:p>
    <w:p w:rsidR="00E9074E" w:rsidRDefault="00E9074E" w:rsidP="00E9074E">
      <w:pPr>
        <w:pStyle w:val="Citation"/>
        <w:spacing w:after="0"/>
        <w:ind w:left="0" w:right="0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346"/>
        <w:gridCol w:w="444"/>
        <w:gridCol w:w="807"/>
        <w:gridCol w:w="444"/>
        <w:gridCol w:w="807"/>
        <w:gridCol w:w="412"/>
        <w:gridCol w:w="765"/>
        <w:gridCol w:w="444"/>
        <w:gridCol w:w="765"/>
        <w:gridCol w:w="458"/>
        <w:gridCol w:w="782"/>
        <w:gridCol w:w="1047"/>
      </w:tblGrid>
      <w:tr w:rsidR="00E9074E" w:rsidTr="00931F8C">
        <w:tc>
          <w:tcPr>
            <w:tcW w:w="0" w:type="auto"/>
            <w:vMerge w:val="restart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81D1F">
              <w:rPr>
                <w:rFonts w:ascii="Arial" w:eastAsia="Calibri" w:hAnsi="Arial" w:cs="Arial"/>
                <w:b/>
                <w:sz w:val="18"/>
                <w:szCs w:val="18"/>
              </w:rPr>
              <w:t>Année</w:t>
            </w:r>
          </w:p>
        </w:tc>
        <w:tc>
          <w:tcPr>
            <w:tcW w:w="0" w:type="auto"/>
            <w:vMerge w:val="restart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81D1F">
              <w:rPr>
                <w:rFonts w:ascii="Arial" w:eastAsia="Calibri" w:hAnsi="Arial" w:cs="Arial"/>
                <w:b/>
                <w:sz w:val="18"/>
                <w:szCs w:val="18"/>
              </w:rPr>
              <w:t>Population au 1</w:t>
            </w:r>
            <w:r w:rsidRPr="00881D1F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er</w:t>
            </w:r>
            <w:r w:rsidRPr="00881D1F">
              <w:rPr>
                <w:rFonts w:ascii="Arial" w:eastAsia="Calibri" w:hAnsi="Arial" w:cs="Arial"/>
                <w:b/>
                <w:sz w:val="18"/>
                <w:szCs w:val="18"/>
              </w:rPr>
              <w:t xml:space="preserve"> janvier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81D1F">
              <w:rPr>
                <w:rFonts w:ascii="Arial" w:eastAsia="Calibri" w:hAnsi="Arial" w:cs="Arial"/>
                <w:b/>
                <w:sz w:val="18"/>
                <w:szCs w:val="18"/>
              </w:rPr>
              <w:t>(en milliers)</w:t>
            </w:r>
          </w:p>
        </w:tc>
        <w:tc>
          <w:tcPr>
            <w:tcW w:w="0" w:type="auto"/>
            <w:gridSpan w:val="10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054F">
              <w:rPr>
                <w:rFonts w:ascii="Arial" w:eastAsia="Calibri" w:hAnsi="Arial" w:cs="Arial"/>
                <w:b/>
                <w:sz w:val="18"/>
                <w:szCs w:val="18"/>
              </w:rPr>
              <w:t>Structure par âge</w:t>
            </w:r>
          </w:p>
        </w:tc>
        <w:tc>
          <w:tcPr>
            <w:tcW w:w="0" w:type="auto"/>
            <w:vMerge w:val="restart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ensemble</w:t>
            </w:r>
          </w:p>
        </w:tc>
      </w:tr>
      <w:tr w:rsidR="00E9074E" w:rsidTr="00931F8C">
        <w:tc>
          <w:tcPr>
            <w:tcW w:w="0" w:type="auto"/>
            <w:vMerge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0-19 ans</w:t>
            </w:r>
          </w:p>
        </w:tc>
        <w:tc>
          <w:tcPr>
            <w:tcW w:w="0" w:type="auto"/>
            <w:gridSpan w:val="2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20-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9 ans</w:t>
            </w:r>
          </w:p>
        </w:tc>
        <w:tc>
          <w:tcPr>
            <w:tcW w:w="0" w:type="auto"/>
            <w:gridSpan w:val="2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9 ans</w:t>
            </w:r>
          </w:p>
        </w:tc>
        <w:tc>
          <w:tcPr>
            <w:tcW w:w="0" w:type="auto"/>
            <w:gridSpan w:val="2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60-79 ans</w:t>
            </w:r>
          </w:p>
        </w:tc>
        <w:tc>
          <w:tcPr>
            <w:tcW w:w="0" w:type="auto"/>
            <w:gridSpan w:val="2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80 ans et</w:t>
            </w: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 xml:space="preserve"> plus</w:t>
            </w:r>
          </w:p>
        </w:tc>
        <w:tc>
          <w:tcPr>
            <w:tcW w:w="0" w:type="auto"/>
            <w:vMerge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9074E" w:rsidTr="00931F8C"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074E" w:rsidTr="00931F8C"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sz w:val="20"/>
                <w:szCs w:val="20"/>
              </w:rPr>
              <w:t>201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074E" w:rsidTr="00931F8C"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074E" w:rsidTr="00931F8C"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9074E" w:rsidRPr="005E4EA1" w:rsidRDefault="00E9074E" w:rsidP="00E9074E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Tableau</w:t>
      </w:r>
      <w:r w:rsidRPr="005E4EA1">
        <w:rPr>
          <w:rFonts w:ascii="Arial" w:eastAsia="Calibri" w:hAnsi="Arial" w:cs="Arial"/>
          <w:i/>
          <w:sz w:val="20"/>
          <w:szCs w:val="20"/>
        </w:rPr>
        <w:t xml:space="preserve"> à compléter : </w:t>
      </w:r>
      <w:r>
        <w:rPr>
          <w:rFonts w:ascii="Arial" w:eastAsia="Calibri" w:hAnsi="Arial" w:cs="Arial"/>
          <w:i/>
          <w:sz w:val="20"/>
          <w:szCs w:val="20"/>
        </w:rPr>
        <w:t xml:space="preserve">source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insee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, Omphale (projection à l’échelle des territoires de santé)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46" w:name="_Toc381191564"/>
      <w:r w:rsidRPr="00E9074E">
        <w:rPr>
          <w:color w:val="auto"/>
        </w:rPr>
        <w:t>Conformité du projet par rapport au SROS-PRS</w:t>
      </w:r>
      <w:bookmarkEnd w:id="246"/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281AA0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</w:t>
      </w:r>
      <w:r w:rsidR="00E9074E">
        <w:rPr>
          <w:rFonts w:eastAsia="Arial Unicode MS" w:cs="Arial"/>
          <w:i/>
          <w:szCs w:val="20"/>
        </w:rPr>
        <w:t>établissement</w:t>
      </w:r>
      <w:r>
        <w:rPr>
          <w:rFonts w:eastAsia="Arial Unicode MS" w:cs="Arial"/>
          <w:i/>
          <w:szCs w:val="20"/>
        </w:rPr>
        <w:t xml:space="preserve"> évaluera</w:t>
      </w:r>
      <w:r w:rsidRPr="00A847F0">
        <w:rPr>
          <w:rFonts w:eastAsia="Arial Unicode MS" w:cs="Arial"/>
          <w:i/>
          <w:szCs w:val="20"/>
        </w:rPr>
        <w:t xml:space="preserve"> dans quelle mesure l’opération participe aux objectifs d’évolution de l’offre de soins </w:t>
      </w:r>
      <w:r>
        <w:rPr>
          <w:rFonts w:eastAsia="Arial Unicode MS" w:cs="Arial"/>
          <w:i/>
          <w:szCs w:val="20"/>
        </w:rPr>
        <w:t>inscrits</w:t>
      </w:r>
      <w:r w:rsidRPr="00A847F0">
        <w:rPr>
          <w:rFonts w:eastAsia="Arial Unicode MS" w:cs="Arial"/>
          <w:i/>
          <w:szCs w:val="20"/>
        </w:rPr>
        <w:t xml:space="preserve"> dans le SROS</w:t>
      </w:r>
      <w:r>
        <w:rPr>
          <w:rFonts w:eastAsia="Arial Unicode MS" w:cs="Arial"/>
          <w:i/>
          <w:szCs w:val="20"/>
        </w:rPr>
        <w:t>-PRS</w:t>
      </w:r>
      <w:r w:rsidRPr="00A847F0">
        <w:rPr>
          <w:rFonts w:eastAsia="Arial Unicode MS" w:cs="Arial"/>
          <w:i/>
          <w:szCs w:val="20"/>
        </w:rPr>
        <w:t xml:space="preserve">. </w:t>
      </w:r>
      <w:r>
        <w:rPr>
          <w:rFonts w:eastAsia="Arial Unicode MS" w:cs="Arial"/>
          <w:i/>
          <w:szCs w:val="20"/>
        </w:rPr>
        <w:t>Il convient de r</w:t>
      </w:r>
      <w:r w:rsidRPr="00A847F0">
        <w:rPr>
          <w:rFonts w:eastAsia="Arial Unicode MS" w:cs="Arial"/>
          <w:i/>
          <w:szCs w:val="20"/>
        </w:rPr>
        <w:t xml:space="preserve">eprendre </w:t>
      </w:r>
      <w:r>
        <w:rPr>
          <w:rFonts w:eastAsia="Arial Unicode MS" w:cs="Arial"/>
          <w:i/>
          <w:szCs w:val="20"/>
        </w:rPr>
        <w:t>les principaux extraits</w:t>
      </w:r>
      <w:r w:rsidRPr="00A847F0">
        <w:rPr>
          <w:rFonts w:eastAsia="Arial Unicode MS" w:cs="Arial"/>
          <w:i/>
          <w:szCs w:val="20"/>
        </w:rPr>
        <w:t xml:space="preserve"> du SROS et définir en quoi le projet d’investissement permet d’atteindre ces objectifs</w:t>
      </w:r>
      <w:r>
        <w:rPr>
          <w:rFonts w:eastAsia="Arial Unicode MS"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47" w:name="_Toc377127746"/>
      <w:bookmarkStart w:id="248" w:name="_Toc377128677"/>
      <w:bookmarkStart w:id="249" w:name="_Toc377129604"/>
      <w:bookmarkStart w:id="250" w:name="_Toc377133573"/>
      <w:bookmarkStart w:id="251" w:name="_Toc377127751"/>
      <w:bookmarkStart w:id="252" w:name="_Toc377128682"/>
      <w:bookmarkStart w:id="253" w:name="_Toc377129609"/>
      <w:bookmarkStart w:id="254" w:name="_Toc377133578"/>
      <w:bookmarkStart w:id="255" w:name="_Toc381191565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Pr="00E9074E">
        <w:rPr>
          <w:color w:val="auto"/>
        </w:rPr>
        <w:t>Opportunité du projet sur les domaines d’activités concernés par rapport aux établissements de la zone d’attractivité de l’établissement</w:t>
      </w:r>
      <w:bookmarkEnd w:id="255"/>
      <w:r w:rsidRPr="00E9074E">
        <w:rPr>
          <w:color w:val="auto"/>
        </w:rPr>
        <w:t xml:space="preserve"> </w:t>
      </w:r>
    </w:p>
    <w:p w:rsidR="0031054F" w:rsidRDefault="0031054F" w:rsidP="0031054F">
      <w:pPr>
        <w:pStyle w:val="Titre3"/>
        <w:jc w:val="both"/>
      </w:pPr>
      <w:bookmarkStart w:id="256" w:name="_Toc381191566"/>
      <w:r>
        <w:t>Positionnement de l’établissement par rapport aux autres structures du territoire de santé / de la zone d’attractivité de l’établissement</w:t>
      </w:r>
      <w:bookmarkEnd w:id="256"/>
    </w:p>
    <w:p w:rsidR="0031054F" w:rsidRDefault="0031054F" w:rsidP="0031054F">
      <w:pPr>
        <w:rPr>
          <w:rFonts w:cs="Arial"/>
          <w:szCs w:val="20"/>
          <w:u w:val="single"/>
        </w:rPr>
      </w:pPr>
    </w:p>
    <w:p w:rsidR="0031054F" w:rsidRPr="005775C4" w:rsidRDefault="00E9074E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</w:t>
      </w:r>
      <w:r w:rsidR="0031054F">
        <w:rPr>
          <w:rFonts w:cs="Arial"/>
          <w:i/>
          <w:szCs w:val="20"/>
        </w:rPr>
        <w:t xml:space="preserve">’établissement </w:t>
      </w:r>
      <w:r>
        <w:rPr>
          <w:rFonts w:cs="Arial"/>
          <w:i/>
          <w:szCs w:val="20"/>
        </w:rPr>
        <w:t>analysera</w:t>
      </w:r>
      <w:r w:rsidR="0031054F">
        <w:rPr>
          <w:rFonts w:cs="Arial"/>
          <w:i/>
          <w:szCs w:val="20"/>
        </w:rPr>
        <w:t xml:space="preserve"> </w:t>
      </w:r>
      <w:r w:rsidR="0031054F" w:rsidRPr="007D5491">
        <w:rPr>
          <w:rFonts w:cs="Arial"/>
          <w:i/>
          <w:szCs w:val="20"/>
        </w:rPr>
        <w:t>l’évolution de l’offre de soins dans les domaines d’activités concernés par le projet au regard de la démographie</w:t>
      </w:r>
      <w:r w:rsidR="0031054F">
        <w:rPr>
          <w:rFonts w:cs="Arial"/>
          <w:i/>
          <w:szCs w:val="20"/>
        </w:rPr>
        <w:t xml:space="preserve"> décrite précédemment</w:t>
      </w:r>
      <w:r w:rsidR="0031054F" w:rsidRPr="007D5491">
        <w:rPr>
          <w:rFonts w:cs="Arial"/>
          <w:i/>
          <w:szCs w:val="20"/>
        </w:rPr>
        <w:t xml:space="preserve"> et de l’évolution des modes de prises en charge (développement des alternatives à l’hospitalisation, développement des parcours de soins, soins à domicile…)</w:t>
      </w:r>
      <w:r w:rsidR="0031054F">
        <w:rPr>
          <w:rFonts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pStyle w:val="Titre3"/>
        <w:jc w:val="both"/>
      </w:pPr>
      <w:bookmarkStart w:id="257" w:name="_Toc377127754"/>
      <w:bookmarkStart w:id="258" w:name="_Toc377128685"/>
      <w:bookmarkStart w:id="259" w:name="_Toc377129612"/>
      <w:bookmarkStart w:id="260" w:name="_Toc377133581"/>
      <w:bookmarkStart w:id="261" w:name="_Toc377127755"/>
      <w:bookmarkStart w:id="262" w:name="_Toc377128686"/>
      <w:bookmarkStart w:id="263" w:name="_Toc377129613"/>
      <w:bookmarkStart w:id="264" w:name="_Toc377133582"/>
      <w:bookmarkStart w:id="265" w:name="_Toc377127756"/>
      <w:bookmarkStart w:id="266" w:name="_Toc377128687"/>
      <w:bookmarkStart w:id="267" w:name="_Toc377129614"/>
      <w:bookmarkStart w:id="268" w:name="_Toc377133583"/>
      <w:bookmarkStart w:id="269" w:name="_Toc377127835"/>
      <w:bookmarkStart w:id="270" w:name="_Toc377128766"/>
      <w:bookmarkStart w:id="271" w:name="_Toc377129693"/>
      <w:bookmarkStart w:id="272" w:name="_Toc377133662"/>
      <w:bookmarkStart w:id="273" w:name="_Toc377127898"/>
      <w:bookmarkStart w:id="274" w:name="_Toc377128829"/>
      <w:bookmarkStart w:id="275" w:name="_Toc377129756"/>
      <w:bookmarkStart w:id="276" w:name="_Toc377133725"/>
      <w:bookmarkStart w:id="277" w:name="_Toc381191567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r>
        <w:t>Evolution du volume d’activité actuel et futur de l’établissement sur les différents domaines d’activités impactés par le projet</w:t>
      </w:r>
      <w:bookmarkEnd w:id="277"/>
    </w:p>
    <w:p w:rsidR="0031054F" w:rsidRDefault="0031054F" w:rsidP="0031054F">
      <w:pPr>
        <w:rPr>
          <w:rFonts w:cs="Arial"/>
          <w:szCs w:val="20"/>
        </w:rPr>
      </w:pPr>
    </w:p>
    <w:p w:rsidR="0031054F" w:rsidRPr="00663B86" w:rsidRDefault="0031054F" w:rsidP="0031054F">
      <w:pPr>
        <w:jc w:val="both"/>
        <w:rPr>
          <w:i/>
        </w:rPr>
      </w:pPr>
      <w:r w:rsidRPr="00663B86">
        <w:rPr>
          <w:i/>
        </w:rPr>
        <w:t>Il s’agit de décrire à partir des données du PMSI, le volume d’activité actuel et futur de l’établissement sur les différents GHM ou groupes de GHM concernés par le projet. Cette analyse sous-tend le programme capacitaire et donne une image de la réponse aux besoins actuels et futurs. Cette partie doit être illustrée de cartographie</w:t>
      </w:r>
      <w:r>
        <w:rPr>
          <w:i/>
        </w:rPr>
        <w:t>s</w:t>
      </w:r>
      <w:r w:rsidRPr="00663B86">
        <w:rPr>
          <w:i/>
        </w:rPr>
        <w:t xml:space="preserve"> des zones d’attractivité et taux de fuite (cf</w:t>
      </w:r>
      <w:r>
        <w:rPr>
          <w:i/>
        </w:rPr>
        <w:t xml:space="preserve">. </w:t>
      </w:r>
      <w:r w:rsidRPr="00663B86">
        <w:rPr>
          <w:i/>
        </w:rPr>
        <w:t>outil SNATIH de l’ATIH).</w:t>
      </w:r>
    </w:p>
    <w:p w:rsidR="0031054F" w:rsidRPr="00663B86" w:rsidRDefault="0031054F" w:rsidP="0031054F">
      <w:pPr>
        <w:jc w:val="both"/>
        <w:rPr>
          <w:i/>
        </w:rPr>
      </w:pPr>
    </w:p>
    <w:p w:rsidR="0031054F" w:rsidRPr="008B79D8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Pour ce faire, l</w:t>
      </w:r>
      <w:r w:rsidR="00E9074E">
        <w:rPr>
          <w:rFonts w:cs="Arial"/>
          <w:i/>
          <w:szCs w:val="20"/>
        </w:rPr>
        <w:t>’établissement</w:t>
      </w:r>
      <w:r>
        <w:rPr>
          <w:rFonts w:cs="Arial"/>
          <w:i/>
          <w:szCs w:val="20"/>
        </w:rPr>
        <w:t xml:space="preserve"> évaluera </w:t>
      </w:r>
      <w:r w:rsidR="00E9074E">
        <w:rPr>
          <w:rFonts w:cs="Arial"/>
          <w:i/>
          <w:szCs w:val="20"/>
        </w:rPr>
        <w:t xml:space="preserve">l’évolution de son </w:t>
      </w:r>
      <w:r w:rsidRPr="008B79D8">
        <w:rPr>
          <w:rFonts w:cs="Arial"/>
          <w:i/>
          <w:szCs w:val="20"/>
        </w:rPr>
        <w:t xml:space="preserve">positionnement </w:t>
      </w:r>
      <w:r w:rsidRPr="00CD0169">
        <w:rPr>
          <w:rFonts w:cs="Arial"/>
          <w:i/>
          <w:szCs w:val="20"/>
        </w:rPr>
        <w:t>dans son environnemen</w:t>
      </w:r>
      <w:r>
        <w:rPr>
          <w:rFonts w:cs="Arial"/>
          <w:i/>
          <w:szCs w:val="20"/>
        </w:rPr>
        <w:t>t et en particulier pour chaque domaine d’activité inclus dans le projet d’investissement :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les autres acteurs de soins et leur positionnement par rapport à l’établissement, ainsi que le</w:t>
      </w:r>
      <w:r>
        <w:rPr>
          <w:rFonts w:cs="Arial"/>
          <w:i/>
          <w:szCs w:val="20"/>
        </w:rPr>
        <w:t>s projets et évolutions connues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a</w:t>
      </w:r>
      <w:r w:rsidRPr="00B3670E">
        <w:rPr>
          <w:rFonts w:cs="Arial"/>
          <w:i/>
          <w:szCs w:val="20"/>
        </w:rPr>
        <w:t>nalys</w:t>
      </w:r>
      <w:r>
        <w:rPr>
          <w:rFonts w:cs="Arial"/>
          <w:i/>
          <w:szCs w:val="20"/>
        </w:rPr>
        <w:t>ant l</w:t>
      </w:r>
      <w:r w:rsidRPr="00B3670E">
        <w:rPr>
          <w:rFonts w:cs="Arial"/>
          <w:i/>
          <w:szCs w:val="20"/>
        </w:rPr>
        <w:t>es facteurs d’évolution des parts de marché et justification des évolutions envisagées</w:t>
      </w:r>
      <w:r>
        <w:rPr>
          <w:rFonts w:cs="Arial"/>
          <w:i/>
          <w:szCs w:val="20"/>
        </w:rPr>
        <w:t>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en évaluant l’impact des taux de fuite et d’attractivité de l’établissement, ainsi que l</w:t>
      </w:r>
      <w:r w:rsidRPr="003164D1">
        <w:rPr>
          <w:rFonts w:cs="Arial"/>
          <w:i/>
          <w:szCs w:val="20"/>
        </w:rPr>
        <w:t>a manière dont le projet</w:t>
      </w:r>
      <w:r>
        <w:rPr>
          <w:rFonts w:cs="Arial"/>
          <w:i/>
          <w:szCs w:val="20"/>
        </w:rPr>
        <w:t xml:space="preserve"> pre</w:t>
      </w:r>
      <w:r w:rsidRPr="003164D1">
        <w:rPr>
          <w:rFonts w:cs="Arial"/>
          <w:i/>
          <w:szCs w:val="20"/>
        </w:rPr>
        <w:t>nd en compte ces phénomènes</w:t>
      </w:r>
      <w:r>
        <w:rPr>
          <w:rFonts w:cs="Arial"/>
          <w:i/>
          <w:szCs w:val="20"/>
        </w:rPr>
        <w:t xml:space="preserve"> et fera</w:t>
      </w:r>
      <w:r w:rsidRPr="003164D1">
        <w:rPr>
          <w:rFonts w:cs="Arial"/>
          <w:i/>
          <w:szCs w:val="20"/>
        </w:rPr>
        <w:t xml:space="preserve"> évoluer </w:t>
      </w:r>
      <w:r>
        <w:rPr>
          <w:rFonts w:cs="Arial"/>
          <w:i/>
          <w:szCs w:val="20"/>
        </w:rPr>
        <w:t>la répartition de l’offre de soins actuelle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les coopérations mises en place ou à développer en lien avec le projet ;</w:t>
      </w:r>
    </w:p>
    <w:p w:rsidR="0031054F" w:rsidRPr="009139F1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les projets d’investissement des autres établissements du territoire et leurs </w:t>
      </w:r>
      <w:r w:rsidRPr="008B79D8">
        <w:rPr>
          <w:rFonts w:cs="Arial"/>
          <w:i/>
          <w:szCs w:val="20"/>
        </w:rPr>
        <w:t xml:space="preserve">impacts </w:t>
      </w:r>
      <w:r>
        <w:rPr>
          <w:rFonts w:cs="Arial"/>
          <w:i/>
          <w:szCs w:val="20"/>
        </w:rPr>
        <w:t>sur le projet de l’établissement.</w:t>
      </w:r>
    </w:p>
    <w:p w:rsidR="0031054F" w:rsidRDefault="0031054F" w:rsidP="0031054F">
      <w:pPr>
        <w:jc w:val="both"/>
        <w:rPr>
          <w:rFonts w:cs="Arial"/>
          <w:szCs w:val="20"/>
        </w:rPr>
      </w:pPr>
    </w:p>
    <w:tbl>
      <w:tblPr>
        <w:tblW w:w="485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78"/>
        <w:gridCol w:w="1030"/>
        <w:gridCol w:w="893"/>
        <w:gridCol w:w="867"/>
        <w:gridCol w:w="1028"/>
        <w:gridCol w:w="867"/>
        <w:gridCol w:w="863"/>
      </w:tblGrid>
      <w:tr w:rsidR="00E9074E" w:rsidRPr="002A53BE" w:rsidTr="00931F8C">
        <w:trPr>
          <w:trHeight w:val="274"/>
        </w:trPr>
        <w:tc>
          <w:tcPr>
            <w:tcW w:w="1929" w:type="pct"/>
            <w:vMerge w:val="restart"/>
            <w:shd w:val="clear" w:color="auto" w:fill="F2F2F2"/>
            <w:vAlign w:val="center"/>
          </w:tcPr>
          <w:p w:rsidR="00E9074E" w:rsidRDefault="00E9074E" w:rsidP="00931F8C">
            <w:pPr>
              <w:jc w:val="center"/>
              <w:rPr>
                <w:b/>
              </w:rPr>
            </w:pPr>
            <w:r w:rsidRPr="00170905">
              <w:rPr>
                <w:b/>
              </w:rPr>
              <w:t>Liste des domaines d’activité impactés par le projet</w:t>
            </w:r>
          </w:p>
          <w:p w:rsidR="00E9074E" w:rsidRPr="00170905" w:rsidRDefault="00E9074E" w:rsidP="00931F8C">
            <w:pPr>
              <w:jc w:val="center"/>
              <w:rPr>
                <w:sz w:val="16"/>
                <w:szCs w:val="16"/>
              </w:rPr>
            </w:pPr>
            <w:r w:rsidRPr="00170905">
              <w:rPr>
                <w:sz w:val="16"/>
                <w:szCs w:val="16"/>
              </w:rPr>
              <w:t>(détailler les activités en lien avec l’implantation physique des services)</w:t>
            </w:r>
          </w:p>
        </w:tc>
        <w:tc>
          <w:tcPr>
            <w:tcW w:w="1056" w:type="pct"/>
            <w:gridSpan w:val="2"/>
            <w:shd w:val="clear" w:color="auto" w:fill="F2F2F2"/>
            <w:vAlign w:val="center"/>
          </w:tcPr>
          <w:p w:rsidR="00E9074E" w:rsidRPr="002A53BE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Parts de marché</w:t>
            </w:r>
          </w:p>
        </w:tc>
        <w:tc>
          <w:tcPr>
            <w:tcW w:w="1053" w:type="pct"/>
            <w:gridSpan w:val="2"/>
            <w:shd w:val="clear" w:color="auto" w:fill="F2F2F2"/>
            <w:vAlign w:val="center"/>
          </w:tcPr>
          <w:p w:rsidR="00E9074E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Taux de fuite</w:t>
            </w:r>
          </w:p>
        </w:tc>
        <w:tc>
          <w:tcPr>
            <w:tcW w:w="963" w:type="pct"/>
            <w:gridSpan w:val="2"/>
            <w:shd w:val="clear" w:color="auto" w:fill="F2F2F2"/>
          </w:tcPr>
          <w:p w:rsidR="00E9074E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Taux d’attractivité</w:t>
            </w:r>
          </w:p>
        </w:tc>
      </w:tr>
      <w:tr w:rsidR="00E9074E" w:rsidRPr="0024014F" w:rsidTr="00931F8C">
        <w:trPr>
          <w:trHeight w:val="1460"/>
        </w:trPr>
        <w:tc>
          <w:tcPr>
            <w:tcW w:w="1929" w:type="pct"/>
            <w:vMerge/>
            <w:shd w:val="clear" w:color="auto" w:fill="F2F2F2"/>
            <w:vAlign w:val="center"/>
          </w:tcPr>
          <w:p w:rsidR="00E9074E" w:rsidRDefault="00E9074E" w:rsidP="00931F8C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  <w:r w:rsidRPr="00281AA0">
              <w:rPr>
                <w:sz w:val="18"/>
                <w:szCs w:val="18"/>
              </w:rPr>
              <w:t>Actuelles</w:t>
            </w:r>
          </w:p>
          <w:p w:rsidR="00E9074E" w:rsidRPr="00E064A6" w:rsidRDefault="00E9074E" w:rsidP="00931F8C">
            <w:pPr>
              <w:jc w:val="center"/>
              <w:rPr>
                <w:sz w:val="16"/>
                <w:szCs w:val="16"/>
              </w:rPr>
            </w:pPr>
            <w:r w:rsidRPr="00E064A6">
              <w:rPr>
                <w:sz w:val="16"/>
                <w:szCs w:val="16"/>
              </w:rPr>
              <w:t>(préciser la date)</w:t>
            </w:r>
          </w:p>
          <w:p w:rsidR="00E9074E" w:rsidRPr="00281AA0" w:rsidRDefault="00E9074E" w:rsidP="00931F8C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Futures</w:t>
            </w:r>
            <w:r>
              <w:rPr>
                <w:rStyle w:val="Appelnotedebasdep"/>
                <w:sz w:val="18"/>
                <w:szCs w:val="18"/>
              </w:rPr>
              <w:footnoteReference w:id="1"/>
            </w:r>
          </w:p>
          <w:p w:rsidR="00E9074E" w:rsidRPr="00691B84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actuels</w:t>
            </w:r>
          </w:p>
          <w:p w:rsidR="00E9074E" w:rsidRPr="00691B84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futurs</w:t>
            </w:r>
          </w:p>
          <w:p w:rsidR="00E9074E" w:rsidRPr="00691B84" w:rsidRDefault="00E9074E" w:rsidP="00931F8C">
            <w:pPr>
              <w:ind w:left="-534" w:firstLine="534"/>
              <w:rPr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actuels</w:t>
            </w:r>
          </w:p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futurs</w:t>
            </w:r>
          </w:p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Default="00E9074E" w:rsidP="00931F8C">
            <w:r>
              <w:t>Ex. 01M - Digestif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Default="00E9074E" w:rsidP="00931F8C">
            <w:r>
              <w:t>Ex. 04M – Rhumatologie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  <w:r w:rsidRPr="00B90E77">
              <w:rPr>
                <w:i/>
              </w:rPr>
              <w:t>Autres (à préciser)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</w:tbl>
    <w:p w:rsidR="00E9074E" w:rsidRPr="00D44A75" w:rsidRDefault="00E9074E" w:rsidP="0031054F">
      <w:pPr>
        <w:jc w:val="both"/>
        <w:rPr>
          <w:rFonts w:cs="Arial"/>
          <w:szCs w:val="20"/>
        </w:rPr>
      </w:pPr>
    </w:p>
    <w:tbl>
      <w:tblPr>
        <w:tblW w:w="4925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88"/>
        <w:gridCol w:w="961"/>
        <w:gridCol w:w="818"/>
        <w:gridCol w:w="818"/>
        <w:gridCol w:w="977"/>
        <w:gridCol w:w="1019"/>
        <w:gridCol w:w="1017"/>
        <w:gridCol w:w="1034"/>
        <w:gridCol w:w="1017"/>
      </w:tblGrid>
      <w:tr w:rsidR="00E9074E" w:rsidRPr="002A53BE" w:rsidTr="00931F8C">
        <w:trPr>
          <w:trHeight w:val="274"/>
        </w:trPr>
        <w:tc>
          <w:tcPr>
            <w:tcW w:w="813" w:type="pct"/>
            <w:vMerge w:val="restart"/>
            <w:shd w:val="clear" w:color="auto" w:fill="F2F2F2"/>
            <w:vAlign w:val="center"/>
          </w:tcPr>
          <w:p w:rsidR="00E9074E" w:rsidRDefault="00E9074E" w:rsidP="00931F8C">
            <w:pPr>
              <w:jc w:val="center"/>
              <w:rPr>
                <w:b/>
              </w:rPr>
            </w:pPr>
            <w:r w:rsidRPr="00170905">
              <w:rPr>
                <w:b/>
              </w:rPr>
              <w:t>Liste des domaines d’activité impactés par le projet</w:t>
            </w:r>
          </w:p>
          <w:p w:rsidR="00E9074E" w:rsidRPr="00170905" w:rsidRDefault="00E9074E" w:rsidP="00931F8C">
            <w:pPr>
              <w:jc w:val="center"/>
              <w:rPr>
                <w:b/>
                <w:sz w:val="16"/>
                <w:szCs w:val="16"/>
              </w:rPr>
            </w:pPr>
            <w:r w:rsidRPr="00170905">
              <w:rPr>
                <w:sz w:val="16"/>
                <w:szCs w:val="16"/>
              </w:rPr>
              <w:t>(détailler les activités en lien avec l’implantation physique des services)</w:t>
            </w:r>
          </w:p>
        </w:tc>
        <w:tc>
          <w:tcPr>
            <w:tcW w:w="4187" w:type="pct"/>
            <w:gridSpan w:val="8"/>
            <w:shd w:val="clear" w:color="auto" w:fill="F2F2F2"/>
          </w:tcPr>
          <w:p w:rsidR="00E9074E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Nombre de séjours</w:t>
            </w:r>
          </w:p>
        </w:tc>
      </w:tr>
      <w:tr w:rsidR="00E9074E" w:rsidRPr="0024014F" w:rsidTr="00931F8C">
        <w:trPr>
          <w:trHeight w:val="1460"/>
        </w:trPr>
        <w:tc>
          <w:tcPr>
            <w:tcW w:w="813" w:type="pct"/>
            <w:vMerge/>
            <w:shd w:val="clear" w:color="auto" w:fill="F2F2F2"/>
            <w:vAlign w:val="center"/>
          </w:tcPr>
          <w:p w:rsidR="00E9074E" w:rsidRDefault="00E9074E" w:rsidP="00931F8C">
            <w:pPr>
              <w:jc w:val="center"/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N-2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</w:t>
            </w:r>
          </w:p>
          <w:p w:rsidR="00E9074E" w:rsidRPr="00281AA0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E9074E" w:rsidRPr="00281AA0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 en service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en service 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 ans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Evolution annuelle</w:t>
            </w:r>
          </w:p>
          <w:p w:rsidR="00E9074E" w:rsidRPr="00281AA0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N/N-3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Evolution annuelle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 en service + 3/N</w:t>
            </w: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Default="00E9074E" w:rsidP="00931F8C">
            <w:r>
              <w:t>Ex. 01M - Digestif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Default="00E9074E" w:rsidP="00931F8C">
            <w:r>
              <w:t>Ex. 04M – Rhumatologie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  <w:r w:rsidRPr="00B90E77">
              <w:rPr>
                <w:i/>
              </w:rPr>
              <w:t>Autres (à préciser)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</w:tbl>
    <w:p w:rsidR="0031054F" w:rsidRDefault="0031054F" w:rsidP="0031054F">
      <w:pPr>
        <w:rPr>
          <w:rFonts w:cs="Arial"/>
          <w:szCs w:val="20"/>
        </w:rPr>
      </w:pPr>
    </w:p>
    <w:p w:rsidR="0031054F" w:rsidRDefault="0031054F" w:rsidP="0031054F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31054F" w:rsidRPr="007D5491" w:rsidRDefault="0031054F" w:rsidP="0031054F">
      <w:pPr>
        <w:pStyle w:val="Titre1"/>
      </w:pPr>
      <w:bookmarkStart w:id="278" w:name="_Toc381191568"/>
      <w:r w:rsidRPr="007D5491">
        <w:lastRenderedPageBreak/>
        <w:t>Analyse et validation du dimensionnement du futur établissement</w:t>
      </w:r>
      <w:bookmarkEnd w:id="278"/>
      <w:r w:rsidRPr="007D5491">
        <w:t xml:space="preserve"> </w:t>
      </w:r>
    </w:p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Pr="00E9074E" w:rsidRDefault="0031054F" w:rsidP="0031054F">
      <w:pPr>
        <w:pStyle w:val="Titre2"/>
        <w:rPr>
          <w:rFonts w:eastAsia="Calibri"/>
          <w:i/>
          <w:color w:val="auto"/>
        </w:rPr>
      </w:pPr>
      <w:bookmarkStart w:id="279" w:name="_Toc381191569"/>
      <w:r w:rsidRPr="00E9074E">
        <w:rPr>
          <w:rFonts w:eastAsia="Calibri"/>
          <w:color w:val="auto"/>
        </w:rPr>
        <w:t>Dimensionnement capacitaire</w:t>
      </w:r>
      <w:bookmarkEnd w:id="279"/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</w:p>
    <w:p w:rsidR="0031054F" w:rsidRPr="00520C71" w:rsidRDefault="0031054F" w:rsidP="0031054F">
      <w:pPr>
        <w:jc w:val="both"/>
        <w:rPr>
          <w:i/>
        </w:rPr>
      </w:pPr>
      <w:r w:rsidRPr="001E1F0E">
        <w:rPr>
          <w:i/>
        </w:rPr>
        <w:t>P</w:t>
      </w:r>
      <w:r>
        <w:rPr>
          <w:i/>
        </w:rPr>
        <w:t>our chaque domaine d’activité concerné par</w:t>
      </w:r>
      <w:r w:rsidRPr="001E1F0E">
        <w:rPr>
          <w:i/>
        </w:rPr>
        <w:t xml:space="preserve"> le projet </w:t>
      </w:r>
      <w:r>
        <w:rPr>
          <w:i/>
        </w:rPr>
        <w:t>d’investissement, p</w:t>
      </w:r>
      <w:r w:rsidRPr="00683B1B">
        <w:rPr>
          <w:i/>
        </w:rPr>
        <w:t>réciser l’év</w:t>
      </w:r>
      <w:r>
        <w:rPr>
          <w:i/>
        </w:rPr>
        <w:t>olution de la capacité de l’établissement (nombre de lits et places</w:t>
      </w:r>
      <w:r w:rsidRPr="00520C71">
        <w:rPr>
          <w:i/>
        </w:rPr>
        <w:t xml:space="preserve">). </w:t>
      </w:r>
    </w:p>
    <w:p w:rsidR="0031054F" w:rsidRDefault="0031054F" w:rsidP="0031054F">
      <w:pPr>
        <w:pStyle w:val="Titre3"/>
        <w:jc w:val="both"/>
      </w:pPr>
      <w:bookmarkStart w:id="280" w:name="_Toc381191570"/>
      <w:r>
        <w:t>Analyse globale de l’évolution de la capacité de l’établissement par type d’activité</w:t>
      </w:r>
      <w:bookmarkEnd w:id="280"/>
    </w:p>
    <w:p w:rsidR="0031054F" w:rsidRDefault="0031054F" w:rsidP="0031054F"/>
    <w:tbl>
      <w:tblPr>
        <w:tblW w:w="4898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06"/>
        <w:gridCol w:w="1298"/>
        <w:gridCol w:w="1187"/>
        <w:gridCol w:w="1187"/>
        <w:gridCol w:w="1301"/>
        <w:gridCol w:w="994"/>
        <w:gridCol w:w="1026"/>
      </w:tblGrid>
      <w:tr w:rsidR="00E9074E" w:rsidRPr="00082945" w:rsidTr="002145CE">
        <w:trPr>
          <w:trHeight w:val="239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E9074E" w:rsidRDefault="00E9074E" w:rsidP="00931F8C">
            <w:pPr>
              <w:rPr>
                <w:b/>
              </w:rPr>
            </w:pPr>
            <w:r>
              <w:rPr>
                <w:b/>
              </w:rPr>
              <w:t>Evolution de la capacité globale de l’établissement</w:t>
            </w:r>
          </w:p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vMerge w:val="restart"/>
            <w:shd w:val="clear" w:color="auto" w:fill="F2F2F2"/>
            <w:vAlign w:val="center"/>
          </w:tcPr>
          <w:p w:rsidR="00E9074E" w:rsidRPr="00EF057B" w:rsidRDefault="00E9074E" w:rsidP="00931F8C">
            <w:pPr>
              <w:jc w:val="center"/>
              <w:rPr>
                <w:b/>
              </w:rPr>
            </w:pPr>
            <w:r w:rsidRPr="00EF057B">
              <w:rPr>
                <w:b/>
              </w:rPr>
              <w:t xml:space="preserve">Type d’activité </w:t>
            </w:r>
            <w:r>
              <w:rPr>
                <w:b/>
              </w:rPr>
              <w:t>*</w:t>
            </w:r>
          </w:p>
        </w:tc>
        <w:tc>
          <w:tcPr>
            <w:tcW w:w="1365" w:type="pct"/>
            <w:gridSpan w:val="2"/>
            <w:shd w:val="clear" w:color="auto" w:fill="F2F2F2"/>
            <w:vAlign w:val="center"/>
          </w:tcPr>
          <w:p w:rsidR="00E9074E" w:rsidRPr="00EF057B" w:rsidRDefault="00E9074E" w:rsidP="00931F8C">
            <w:pPr>
              <w:jc w:val="center"/>
              <w:rPr>
                <w:b/>
              </w:rPr>
            </w:pPr>
            <w:r w:rsidRPr="00EF057B">
              <w:rPr>
                <w:b/>
              </w:rPr>
              <w:t>Capacité actuelle de l’établissement</w:t>
            </w:r>
          </w:p>
        </w:tc>
        <w:tc>
          <w:tcPr>
            <w:tcW w:w="1367" w:type="pct"/>
            <w:gridSpan w:val="2"/>
            <w:shd w:val="clear" w:color="auto" w:fill="F2F2F2"/>
            <w:vAlign w:val="center"/>
          </w:tcPr>
          <w:p w:rsidR="00E9074E" w:rsidRPr="00EF057B" w:rsidRDefault="00E9074E" w:rsidP="00931F8C">
            <w:pPr>
              <w:jc w:val="center"/>
              <w:rPr>
                <w:b/>
              </w:rPr>
            </w:pPr>
            <w:r w:rsidRPr="00EF057B">
              <w:rPr>
                <w:b/>
              </w:rPr>
              <w:t>Capacité après réalisation du projet</w:t>
            </w:r>
          </w:p>
        </w:tc>
        <w:tc>
          <w:tcPr>
            <w:tcW w:w="1109" w:type="pct"/>
            <w:gridSpan w:val="2"/>
            <w:shd w:val="clear" w:color="auto" w:fill="F2F2F2"/>
            <w:vAlign w:val="center"/>
          </w:tcPr>
          <w:p w:rsidR="00E9074E" w:rsidRPr="00EF057B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Ecart avant/après</w:t>
            </w:r>
          </w:p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vMerge/>
            <w:shd w:val="clear" w:color="auto" w:fill="FFFFFF"/>
            <w:vAlign w:val="center"/>
          </w:tcPr>
          <w:p w:rsidR="00E9074E" w:rsidRPr="00EF057B" w:rsidRDefault="00E9074E" w:rsidP="00931F8C"/>
        </w:tc>
        <w:tc>
          <w:tcPr>
            <w:tcW w:w="713" w:type="pct"/>
            <w:shd w:val="clear" w:color="auto" w:fill="FFFFFF"/>
            <w:vAlign w:val="center"/>
          </w:tcPr>
          <w:p w:rsidR="00E9074E" w:rsidRPr="00EF057B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lits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9074E" w:rsidRPr="00EF057B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places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9074E" w:rsidRPr="00EF057B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lits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E9074E" w:rsidRPr="00EF057B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places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lits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places</w:t>
            </w:r>
          </w:p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Médecine (HC et HS)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Médecine (ambulatoire)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Chirurgie (HC et HS)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Chirurgie (ambulatoire)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Obstétrique (HC)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Obstétrique (ambulatoire)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rPr>
                <w:bCs/>
                <w:color w:val="000000"/>
              </w:rPr>
              <w:t>Réanimation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rPr>
                <w:bCs/>
                <w:color w:val="000000"/>
              </w:rPr>
              <w:t>Soins intensifs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rPr>
                <w:bCs/>
                <w:color w:val="000000"/>
              </w:rPr>
              <w:t>Surveillance continue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Default="00E9074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Lits UHCD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311ADC" w:rsidRDefault="00E9074E" w:rsidP="00931F8C">
            <w:pPr>
              <w:rPr>
                <w:bCs/>
                <w:color w:val="000000"/>
              </w:rPr>
            </w:pPr>
            <w:r w:rsidRPr="00311ADC">
              <w:t>SSR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311ADC" w:rsidRDefault="00E9074E" w:rsidP="00931F8C">
            <w:pPr>
              <w:rPr>
                <w:bCs/>
                <w:color w:val="000000"/>
              </w:rPr>
            </w:pPr>
            <w:r>
              <w:t>U</w:t>
            </w:r>
            <w:r w:rsidRPr="00311ADC">
              <w:t>SLD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311ADC" w:rsidRDefault="00E9074E" w:rsidP="00931F8C">
            <w:pPr>
              <w:rPr>
                <w:bCs/>
                <w:color w:val="000000"/>
              </w:rPr>
            </w:pPr>
            <w:r w:rsidRPr="00311ADC">
              <w:t>Psychiatrie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  <w:r w:rsidRPr="00B90E77">
              <w:rPr>
                <w:i/>
              </w:rPr>
              <w:t>Autres (à préciser)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170905" w:rsidRDefault="00E9074E" w:rsidP="00931F8C">
            <w:pPr>
              <w:rPr>
                <w:b/>
              </w:rPr>
            </w:pPr>
            <w:r w:rsidRPr="00170905">
              <w:rPr>
                <w:b/>
              </w:rPr>
              <w:t>TOTA</w:t>
            </w:r>
            <w:r>
              <w:rPr>
                <w:b/>
              </w:rPr>
              <w:t>L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D9D9D9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</w:p>
        </w:tc>
        <w:tc>
          <w:tcPr>
            <w:tcW w:w="1365" w:type="pct"/>
            <w:gridSpan w:val="2"/>
            <w:shd w:val="clear" w:color="auto" w:fill="D9D9D9"/>
            <w:vAlign w:val="center"/>
          </w:tcPr>
          <w:p w:rsidR="00E9074E" w:rsidRDefault="00E9074E" w:rsidP="00931F8C">
            <w:pPr>
              <w:jc w:val="center"/>
            </w:pPr>
            <w:r>
              <w:t>Nombre</w:t>
            </w:r>
          </w:p>
        </w:tc>
        <w:tc>
          <w:tcPr>
            <w:tcW w:w="1367" w:type="pct"/>
            <w:gridSpan w:val="2"/>
            <w:shd w:val="clear" w:color="auto" w:fill="D9D9D9"/>
            <w:vAlign w:val="center"/>
          </w:tcPr>
          <w:p w:rsidR="00E9074E" w:rsidRDefault="00E9074E" w:rsidP="00931F8C">
            <w:pPr>
              <w:jc w:val="center"/>
            </w:pPr>
            <w:r>
              <w:t>Nombre</w:t>
            </w:r>
          </w:p>
        </w:tc>
        <w:tc>
          <w:tcPr>
            <w:tcW w:w="1109" w:type="pct"/>
            <w:gridSpan w:val="2"/>
            <w:shd w:val="clear" w:color="auto" w:fill="D9D9D9"/>
          </w:tcPr>
          <w:p w:rsidR="00E9074E" w:rsidRDefault="00E9074E" w:rsidP="00931F8C">
            <w:pPr>
              <w:jc w:val="center"/>
            </w:pPr>
            <w:r>
              <w:t>Ecart</w:t>
            </w:r>
          </w:p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  <w:r w:rsidRPr="00F93FC6">
              <w:rPr>
                <w:bCs/>
                <w:color w:val="000000"/>
              </w:rPr>
              <w:t xml:space="preserve">Salles de </w:t>
            </w:r>
            <w:r>
              <w:rPr>
                <w:bCs/>
                <w:color w:val="000000"/>
              </w:rPr>
              <w:t>b</w:t>
            </w:r>
            <w:r w:rsidRPr="00F93FC6">
              <w:rPr>
                <w:bCs/>
                <w:color w:val="000000"/>
              </w:rPr>
              <w:t>locs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109" w:type="pct"/>
            <w:gridSpan w:val="2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  <w:r w:rsidRPr="00F93FC6">
              <w:rPr>
                <w:bCs/>
                <w:color w:val="000000"/>
              </w:rPr>
              <w:t>Salles d'</w:t>
            </w:r>
            <w:r>
              <w:rPr>
                <w:bCs/>
                <w:color w:val="000000"/>
              </w:rPr>
              <w:t>i</w:t>
            </w:r>
            <w:r w:rsidRPr="00F93FC6">
              <w:rPr>
                <w:bCs/>
                <w:color w:val="000000"/>
              </w:rPr>
              <w:t>magerie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109" w:type="pct"/>
            <w:gridSpan w:val="2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  <w:r w:rsidRPr="00F93FC6">
              <w:rPr>
                <w:bCs/>
                <w:color w:val="000000"/>
              </w:rPr>
              <w:t>Box de consultation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109" w:type="pct"/>
            <w:gridSpan w:val="2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  <w:r>
              <w:rPr>
                <w:i/>
              </w:rPr>
              <w:t>Autres (à préciser)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109" w:type="pct"/>
            <w:gridSpan w:val="2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DA340E" w:rsidRDefault="00E9074E" w:rsidP="00931F8C">
            <w:pPr>
              <w:rPr>
                <w:b/>
              </w:rPr>
            </w:pPr>
            <w:r w:rsidRPr="00DA340E">
              <w:rPr>
                <w:b/>
              </w:rPr>
              <w:t>TOTAL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Pr="00F51855" w:rsidRDefault="00E9074E" w:rsidP="00931F8C">
            <w:pPr>
              <w:rPr>
                <w:b/>
              </w:rPr>
            </w:pPr>
          </w:p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Pr="00F51855" w:rsidRDefault="00E9074E" w:rsidP="00931F8C">
            <w:pPr>
              <w:rPr>
                <w:b/>
              </w:rPr>
            </w:pPr>
          </w:p>
        </w:tc>
        <w:tc>
          <w:tcPr>
            <w:tcW w:w="1109" w:type="pct"/>
            <w:gridSpan w:val="2"/>
            <w:shd w:val="clear" w:color="auto" w:fill="FFFFFF"/>
          </w:tcPr>
          <w:p w:rsidR="00E9074E" w:rsidRPr="00F51855" w:rsidRDefault="00E9074E" w:rsidP="00931F8C">
            <w:pPr>
              <w:rPr>
                <w:b/>
              </w:rPr>
            </w:pPr>
          </w:p>
        </w:tc>
      </w:tr>
    </w:tbl>
    <w:p w:rsidR="002145CE" w:rsidRDefault="002145CE" w:rsidP="002145CE">
      <w:pPr>
        <w:rPr>
          <w:i/>
        </w:rPr>
      </w:pPr>
      <w:r w:rsidRPr="00D44A75">
        <w:rPr>
          <w:i/>
        </w:rPr>
        <w:t>* Cette liste doit être complétée / ajustée en fonction des types d’activité impactées par le projet</w:t>
      </w:r>
    </w:p>
    <w:p w:rsidR="00E9074E" w:rsidRDefault="00E9074E" w:rsidP="0031054F"/>
    <w:p w:rsidR="00E9074E" w:rsidRDefault="00E9074E" w:rsidP="0031054F"/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Default="0031054F" w:rsidP="0031054F">
      <w:pPr>
        <w:rPr>
          <w:rFonts w:eastAsia="Arial Unicode MS" w:cs="Arial"/>
          <w:szCs w:val="20"/>
        </w:rPr>
        <w:sectPr w:rsidR="0031054F" w:rsidSect="00F70F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31054F" w:rsidRDefault="0031054F" w:rsidP="0031054F">
      <w:pPr>
        <w:pStyle w:val="Titre3"/>
        <w:jc w:val="both"/>
      </w:pPr>
      <w:bookmarkStart w:id="281" w:name="_Toc381191571"/>
      <w:r>
        <w:lastRenderedPageBreak/>
        <w:t>Analyse du dimensionnement capacitaire détaillé sur le périmètre du projet</w:t>
      </w:r>
      <w:bookmarkEnd w:id="281"/>
      <w:r>
        <w:t> </w:t>
      </w:r>
    </w:p>
    <w:p w:rsidR="0031054F" w:rsidRDefault="0031054F" w:rsidP="0031054F"/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Il est attendu une analyse détaillée </w:t>
      </w:r>
      <w:r>
        <w:rPr>
          <w:rFonts w:ascii="Arial" w:eastAsia="Calibri" w:hAnsi="Arial" w:cs="Arial"/>
          <w:i/>
          <w:sz w:val="20"/>
          <w:szCs w:val="20"/>
        </w:rPr>
        <w:t xml:space="preserve">du dimensionnement capacitaire 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au regard de l’évolution </w:t>
      </w:r>
      <w:r>
        <w:rPr>
          <w:rFonts w:ascii="Arial" w:eastAsia="Calibri" w:hAnsi="Arial" w:cs="Arial"/>
          <w:i/>
          <w:sz w:val="20"/>
          <w:szCs w:val="20"/>
        </w:rPr>
        <w:t xml:space="preserve">du niveau d’activités et 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des prises en charge (développement de la chirurgie et d’autres segments en </w:t>
      </w:r>
      <w:r>
        <w:rPr>
          <w:rFonts w:ascii="Arial" w:eastAsia="Calibri" w:hAnsi="Arial" w:cs="Arial"/>
          <w:i/>
          <w:sz w:val="20"/>
          <w:szCs w:val="20"/>
        </w:rPr>
        <w:t xml:space="preserve">ambulatoire, </w:t>
      </w:r>
      <w:r w:rsidRPr="007D5491">
        <w:rPr>
          <w:rFonts w:ascii="Arial" w:eastAsia="Calibri" w:hAnsi="Arial" w:cs="Arial"/>
          <w:i/>
          <w:sz w:val="20"/>
          <w:szCs w:val="20"/>
        </w:rPr>
        <w:t>etc.).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8913A6" w:rsidRDefault="0031054F" w:rsidP="008913A6">
      <w:pPr>
        <w:jc w:val="both"/>
        <w:rPr>
          <w:rFonts w:eastAsia="Arial Unicode MS" w:cs="Arial"/>
          <w:i/>
          <w:szCs w:val="20"/>
        </w:rPr>
      </w:pPr>
      <w:r w:rsidRPr="009F2FBC">
        <w:rPr>
          <w:rFonts w:eastAsia="Arial Unicode MS" w:cs="Arial"/>
          <w:i/>
          <w:szCs w:val="20"/>
        </w:rPr>
        <w:t>Le capacitaire après projet doit être justifié et démontré.</w:t>
      </w:r>
      <w:r w:rsidR="008913A6">
        <w:rPr>
          <w:rFonts w:eastAsia="Arial Unicode MS" w:cs="Arial"/>
          <w:i/>
          <w:szCs w:val="20"/>
        </w:rPr>
        <w:t xml:space="preserve"> Attention, il est important de bien distinguer les indicateurs DMS et taux d’occupation selon le type d’hospitalisation (HC, H</w:t>
      </w:r>
      <w:r w:rsidR="006E1DE7">
        <w:rPr>
          <w:rFonts w:eastAsia="Arial Unicode MS" w:cs="Arial"/>
          <w:i/>
          <w:szCs w:val="20"/>
        </w:rPr>
        <w:t>S</w:t>
      </w:r>
      <w:r w:rsidR="008913A6">
        <w:rPr>
          <w:rFonts w:eastAsia="Arial Unicode MS" w:cs="Arial"/>
          <w:i/>
          <w:szCs w:val="20"/>
        </w:rPr>
        <w:t xml:space="preserve"> et ambulatoire).</w:t>
      </w:r>
    </w:p>
    <w:p w:rsidR="002145CE" w:rsidRDefault="002145CE" w:rsidP="008913A6">
      <w:pPr>
        <w:jc w:val="both"/>
        <w:rPr>
          <w:rFonts w:eastAsia="Arial Unicode MS" w:cs="Arial"/>
          <w:i/>
          <w:szCs w:val="20"/>
        </w:rPr>
      </w:pPr>
    </w:p>
    <w:bookmarkStart w:id="282" w:name="_MON_1453274871"/>
    <w:bookmarkEnd w:id="282"/>
    <w:p w:rsidR="002145CE" w:rsidRDefault="002145CE" w:rsidP="002145CE">
      <w:pPr>
        <w:jc w:val="center"/>
        <w:rPr>
          <w:i/>
        </w:rPr>
      </w:pPr>
      <w:r w:rsidRPr="00EB4952">
        <w:rPr>
          <w:rFonts w:eastAsia="Arial Unicode MS" w:cs="Arial"/>
          <w:i/>
          <w:color w:val="00B050"/>
          <w:szCs w:val="20"/>
        </w:rPr>
        <w:object w:dxaOrig="14757" w:dyaOrig="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15pt;height:217.25pt" o:ole="">
            <v:imagedata r:id="rId16" o:title=""/>
          </v:shape>
          <o:OLEObject Type="Embed" ProgID="Excel.Sheet.12" ShapeID="_x0000_i1025" DrawAspect="Content" ObjectID="_1708430287" r:id="rId17"/>
        </w:object>
      </w:r>
      <w:r w:rsidRPr="00881D1F">
        <w:rPr>
          <w:i/>
        </w:rPr>
        <w:t>* Cette liste doit être complétée / ajustée en fonction des types d’activité impactées par le projet</w:t>
      </w:r>
      <w:r>
        <w:rPr>
          <w:i/>
        </w:rPr>
        <w:t xml:space="preserve">. Les activités listées doivent être en adéquation avec </w:t>
      </w:r>
      <w:r w:rsidRPr="005B6B86">
        <w:rPr>
          <w:i/>
        </w:rPr>
        <w:t>l’implantation physique des services</w:t>
      </w:r>
      <w:r>
        <w:rPr>
          <w:i/>
        </w:rPr>
        <w:t xml:space="preserve"> du projet</w:t>
      </w:r>
    </w:p>
    <w:p w:rsidR="0031054F" w:rsidRPr="002145CE" w:rsidRDefault="0031054F" w:rsidP="0031054F">
      <w:pPr>
        <w:pStyle w:val="Titre2"/>
        <w:rPr>
          <w:rFonts w:eastAsia="Calibri"/>
          <w:color w:val="auto"/>
        </w:rPr>
      </w:pPr>
      <w:bookmarkStart w:id="283" w:name="_Toc381191572"/>
      <w:r w:rsidRPr="002145CE">
        <w:rPr>
          <w:rFonts w:eastAsia="Calibri"/>
          <w:color w:val="auto"/>
        </w:rPr>
        <w:t>Calibrage</w:t>
      </w:r>
      <w:bookmarkEnd w:id="283"/>
      <w:r w:rsidRPr="002145CE">
        <w:rPr>
          <w:rFonts w:eastAsia="Calibri"/>
          <w:color w:val="auto"/>
        </w:rPr>
        <w:t xml:space="preserve">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Il s’agit notamment de valider le</w:t>
      </w:r>
      <w:r w:rsidRPr="00640B0B">
        <w:rPr>
          <w:rFonts w:eastAsia="Arial Unicode MS" w:cs="Arial"/>
          <w:i/>
          <w:szCs w:val="20"/>
        </w:rPr>
        <w:t xml:space="preserve"> calibrage des unités cliniques, des éléments dimensionnant </w:t>
      </w:r>
      <w:r>
        <w:rPr>
          <w:rFonts w:eastAsia="Arial Unicode MS" w:cs="Arial"/>
          <w:i/>
          <w:szCs w:val="20"/>
        </w:rPr>
        <w:t>l</w:t>
      </w:r>
      <w:r w:rsidRPr="00640B0B">
        <w:rPr>
          <w:rFonts w:eastAsia="Arial Unicode MS" w:cs="Arial"/>
          <w:i/>
          <w:szCs w:val="20"/>
        </w:rPr>
        <w:t xml:space="preserve">es plateaux techniques (salles d’imagerie, cabinets de consultations, salles de bloc...) ou </w:t>
      </w:r>
      <w:r>
        <w:rPr>
          <w:rFonts w:eastAsia="Arial Unicode MS" w:cs="Arial"/>
          <w:i/>
          <w:szCs w:val="20"/>
        </w:rPr>
        <w:t>l</w:t>
      </w:r>
      <w:r w:rsidRPr="00640B0B">
        <w:rPr>
          <w:rFonts w:eastAsia="Arial Unicode MS" w:cs="Arial"/>
          <w:i/>
          <w:szCs w:val="20"/>
        </w:rPr>
        <w:t>es activités logistiques (nombre de repas</w:t>
      </w:r>
      <w:r>
        <w:rPr>
          <w:rFonts w:eastAsia="Arial Unicode MS" w:cs="Arial"/>
          <w:i/>
          <w:szCs w:val="20"/>
        </w:rPr>
        <w:t>,</w:t>
      </w:r>
      <w:r w:rsidRPr="00640B0B">
        <w:rPr>
          <w:rFonts w:eastAsia="Arial Unicode MS" w:cs="Arial"/>
          <w:i/>
          <w:szCs w:val="20"/>
        </w:rPr>
        <w:t xml:space="preserve">…). </w:t>
      </w:r>
    </w:p>
    <w:p w:rsidR="0031054F" w:rsidRPr="005B7CE4" w:rsidRDefault="0031054F" w:rsidP="0031054F">
      <w:pPr>
        <w:jc w:val="both"/>
        <w:rPr>
          <w:rFonts w:eastAsia="Calibri" w:cs="Arial"/>
          <w:i/>
          <w:szCs w:val="20"/>
        </w:rPr>
      </w:pPr>
      <w:r>
        <w:rPr>
          <w:rFonts w:eastAsia="Arial Unicode MS" w:cs="Arial"/>
          <w:i/>
          <w:szCs w:val="20"/>
        </w:rPr>
        <w:t>L</w:t>
      </w:r>
      <w:r w:rsidRPr="00D56E7F">
        <w:rPr>
          <w:rFonts w:eastAsia="Arial Unicode MS" w:cs="Arial"/>
          <w:i/>
          <w:szCs w:val="20"/>
        </w:rPr>
        <w:t>es écarts par rapport</w:t>
      </w:r>
      <w:r>
        <w:rPr>
          <w:rFonts w:eastAsia="Arial Unicode MS" w:cs="Arial"/>
          <w:i/>
          <w:szCs w:val="20"/>
        </w:rPr>
        <w:t xml:space="preserve"> </w:t>
      </w:r>
      <w:r w:rsidRPr="007D5491">
        <w:rPr>
          <w:rFonts w:eastAsia="Calibri" w:cs="Arial"/>
          <w:i/>
          <w:szCs w:val="20"/>
        </w:rPr>
        <w:t xml:space="preserve">aux </w:t>
      </w:r>
      <w:r>
        <w:rPr>
          <w:rFonts w:eastAsia="Calibri" w:cs="Arial"/>
          <w:i/>
          <w:szCs w:val="20"/>
        </w:rPr>
        <w:t xml:space="preserve">conclusions de l’outil </w:t>
      </w:r>
      <w:proofErr w:type="spellStart"/>
      <w:r>
        <w:rPr>
          <w:rFonts w:eastAsia="Calibri" w:cs="Arial"/>
          <w:i/>
          <w:szCs w:val="20"/>
        </w:rPr>
        <w:t>Aelipce</w:t>
      </w:r>
      <w:proofErr w:type="spellEnd"/>
      <w:r>
        <w:rPr>
          <w:rFonts w:eastAsia="Calibri" w:cs="Arial"/>
          <w:i/>
          <w:szCs w:val="20"/>
        </w:rPr>
        <w:t xml:space="preserve"> (module 2) devront être justifiés.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2145CE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L’établissement</w:t>
      </w:r>
      <w:r w:rsidR="0031054F">
        <w:rPr>
          <w:rFonts w:eastAsia="Arial Unicode MS" w:cs="Arial"/>
          <w:i/>
          <w:szCs w:val="20"/>
        </w:rPr>
        <w:t xml:space="preserve"> devra également vérifier que le ratio SDO/SU est bien conforme aux standards.</w:t>
      </w:r>
    </w:p>
    <w:p w:rsidR="0031054F" w:rsidRPr="00290F29" w:rsidRDefault="00963EBE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lastRenderedPageBreak/>
        <w:t>L’établissement</w:t>
      </w:r>
      <w:r w:rsidR="00290F29" w:rsidRPr="00290F29">
        <w:rPr>
          <w:rFonts w:eastAsia="Arial Unicode MS" w:cs="Arial"/>
          <w:i/>
          <w:szCs w:val="20"/>
        </w:rPr>
        <w:t xml:space="preserve"> devra également analyser</w:t>
      </w:r>
      <w:r w:rsidR="0031054F" w:rsidRPr="00290F29">
        <w:rPr>
          <w:rFonts w:eastAsia="Arial Unicode MS" w:cs="Arial"/>
          <w:i/>
          <w:szCs w:val="20"/>
        </w:rPr>
        <w:t xml:space="preserve"> </w:t>
      </w:r>
      <w:r w:rsidR="00290F29" w:rsidRPr="00290F29">
        <w:rPr>
          <w:rFonts w:eastAsia="Arial Unicode MS" w:cs="Arial"/>
          <w:i/>
          <w:szCs w:val="20"/>
        </w:rPr>
        <w:t>l</w:t>
      </w:r>
      <w:r w:rsidR="0031054F" w:rsidRPr="00290F29">
        <w:rPr>
          <w:rFonts w:eastAsia="Arial Unicode MS" w:cs="Arial"/>
          <w:i/>
          <w:szCs w:val="20"/>
        </w:rPr>
        <w:t>e dimensionnement des plateaux techniques (</w:t>
      </w:r>
      <w:r w:rsidR="00290F29" w:rsidRPr="00290F29">
        <w:rPr>
          <w:rFonts w:eastAsia="Arial Unicode MS" w:cs="Arial"/>
          <w:i/>
          <w:szCs w:val="20"/>
        </w:rPr>
        <w:t xml:space="preserve">nombre de salles, </w:t>
      </w:r>
      <w:r w:rsidR="0031054F" w:rsidRPr="00290F29">
        <w:rPr>
          <w:rFonts w:eastAsia="Arial Unicode MS" w:cs="Arial"/>
          <w:i/>
          <w:szCs w:val="20"/>
        </w:rPr>
        <w:t xml:space="preserve">ICR par salle, </w:t>
      </w:r>
      <w:r w:rsidR="00290F29" w:rsidRPr="00290F29">
        <w:rPr>
          <w:rFonts w:eastAsia="Arial Unicode MS" w:cs="Arial"/>
          <w:i/>
          <w:szCs w:val="20"/>
        </w:rPr>
        <w:t xml:space="preserve">nombre de </w:t>
      </w:r>
      <w:r w:rsidR="0031054F" w:rsidRPr="00290F29">
        <w:rPr>
          <w:rFonts w:eastAsia="Arial Unicode MS" w:cs="Arial"/>
          <w:i/>
          <w:szCs w:val="20"/>
        </w:rPr>
        <w:t>consultations</w:t>
      </w:r>
      <w:r w:rsidR="00290F29" w:rsidRPr="00290F29">
        <w:rPr>
          <w:rFonts w:eastAsia="Arial Unicode MS" w:cs="Arial"/>
          <w:i/>
          <w:szCs w:val="20"/>
        </w:rPr>
        <w:t xml:space="preserve"> actuelles et futures </w:t>
      </w:r>
      <w:r w:rsidR="0031054F" w:rsidRPr="00290F29">
        <w:rPr>
          <w:rFonts w:eastAsia="Arial Unicode MS" w:cs="Arial"/>
          <w:i/>
          <w:szCs w:val="20"/>
        </w:rPr>
        <w:t>en référence aux ratios ANAP…)</w:t>
      </w:r>
    </w:p>
    <w:p w:rsidR="0031054F" w:rsidRPr="00AC378D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  <w:sectPr w:rsidR="0031054F" w:rsidSect="00F70F10">
          <w:headerReference w:type="even" r:id="rId18"/>
          <w:headerReference w:type="default" r:id="rId19"/>
          <w:footerReference w:type="default" r:id="rId20"/>
          <w:headerReference w:type="first" r:id="rId2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1054F" w:rsidRPr="002145CE" w:rsidRDefault="0031054F" w:rsidP="0031054F">
      <w:pPr>
        <w:pStyle w:val="Titre2"/>
        <w:rPr>
          <w:rFonts w:eastAsia="Calibri"/>
          <w:color w:val="auto"/>
        </w:rPr>
      </w:pPr>
      <w:bookmarkStart w:id="284" w:name="_Toc381191573"/>
      <w:r w:rsidRPr="002145CE">
        <w:rPr>
          <w:rFonts w:eastAsia="Calibri"/>
          <w:color w:val="auto"/>
        </w:rPr>
        <w:lastRenderedPageBreak/>
        <w:t>Dimensionnement des locaux</w:t>
      </w:r>
      <w:bookmarkEnd w:id="284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33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9"/>
        <w:gridCol w:w="1279"/>
        <w:gridCol w:w="1460"/>
        <w:gridCol w:w="1372"/>
        <w:gridCol w:w="1570"/>
      </w:tblGrid>
      <w:tr w:rsidR="002145CE" w:rsidRPr="00BB2053" w:rsidTr="002145CE">
        <w:trPr>
          <w:trHeight w:val="272"/>
          <w:jc w:val="center"/>
        </w:trPr>
        <w:tc>
          <w:tcPr>
            <w:tcW w:w="2649" w:type="dxa"/>
            <w:vMerge w:val="restart"/>
            <w:shd w:val="clear" w:color="auto" w:fill="F2F2F2"/>
            <w:vAlign w:val="center"/>
          </w:tcPr>
          <w:p w:rsidR="002145CE" w:rsidRPr="00BB2053" w:rsidRDefault="002145CE" w:rsidP="00931F8C">
            <w:pPr>
              <w:jc w:val="center"/>
              <w:rPr>
                <w:b/>
              </w:rPr>
            </w:pPr>
            <w:r>
              <w:rPr>
                <w:b/>
              </w:rPr>
              <w:t>Liste des secteurs fonctionnels i</w:t>
            </w:r>
            <w:r w:rsidRPr="00BB2053">
              <w:rPr>
                <w:b/>
              </w:rPr>
              <w:t>mpactés par le projet</w:t>
            </w:r>
            <w:r>
              <w:rPr>
                <w:b/>
              </w:rPr>
              <w:t xml:space="preserve"> *</w:t>
            </w:r>
          </w:p>
        </w:tc>
        <w:tc>
          <w:tcPr>
            <w:tcW w:w="5681" w:type="dxa"/>
            <w:gridSpan w:val="4"/>
            <w:shd w:val="clear" w:color="auto" w:fill="F2F2F2"/>
            <w:vAlign w:val="center"/>
          </w:tcPr>
          <w:p w:rsidR="002145CE" w:rsidRDefault="002145CE" w:rsidP="00931F8C">
            <w:pPr>
              <w:jc w:val="center"/>
              <w:rPr>
                <w:b/>
              </w:rPr>
            </w:pPr>
            <w:r>
              <w:rPr>
                <w:b/>
              </w:rPr>
              <w:t>Surfaces m² SDO</w:t>
            </w:r>
          </w:p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vMerge/>
            <w:shd w:val="clear" w:color="auto" w:fill="FFFFFF"/>
            <w:vAlign w:val="center"/>
          </w:tcPr>
          <w:p w:rsidR="002145CE" w:rsidRPr="00BB2053" w:rsidRDefault="002145CE" w:rsidP="00931F8C">
            <w:pPr>
              <w:jc w:val="center"/>
              <w:rPr>
                <w:b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2145CE" w:rsidRPr="00BB2053" w:rsidRDefault="002145CE" w:rsidP="00931F8C">
            <w:pPr>
              <w:jc w:val="center"/>
            </w:pPr>
            <w:r>
              <w:t>avant projet</w:t>
            </w:r>
          </w:p>
        </w:tc>
        <w:tc>
          <w:tcPr>
            <w:tcW w:w="1460" w:type="dxa"/>
            <w:shd w:val="clear" w:color="auto" w:fill="FFFFFF"/>
            <w:vAlign w:val="center"/>
          </w:tcPr>
          <w:p w:rsidR="002145CE" w:rsidRPr="00082945" w:rsidRDefault="002145CE" w:rsidP="00931F8C">
            <w:pPr>
              <w:jc w:val="center"/>
              <w:rPr>
                <w:i/>
              </w:rPr>
            </w:pPr>
            <w:r>
              <w:t>après mise en service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2145CE" w:rsidRPr="00BB2053" w:rsidRDefault="002145CE" w:rsidP="00931F8C">
            <w:pPr>
              <w:jc w:val="center"/>
            </w:pPr>
            <w:r>
              <w:t>Surface attendue -référentiels ANAP (</w:t>
            </w:r>
            <w:proofErr w:type="spellStart"/>
            <w:r>
              <w:t>Aelipce</w:t>
            </w:r>
            <w:proofErr w:type="spellEnd"/>
            <w:r>
              <w:t>-module 2)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2145CE" w:rsidRDefault="002145CE" w:rsidP="00931F8C">
            <w:pPr>
              <w:jc w:val="center"/>
            </w:pPr>
            <w:r>
              <w:t>Ecarts par rapport aux référentiels</w:t>
            </w:r>
          </w:p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proofErr w:type="spellStart"/>
            <w:r w:rsidRPr="00AC4D67">
              <w:rPr>
                <w:bCs/>
                <w:color w:val="000000"/>
              </w:rPr>
              <w:t>Hospit</w:t>
            </w:r>
            <w:proofErr w:type="spellEnd"/>
            <w:r w:rsidRPr="00AC4D67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complète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AC4D67">
              <w:rPr>
                <w:bCs/>
                <w:color w:val="000000"/>
              </w:rPr>
              <w:t>médecine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AC4D67">
              <w:rPr>
                <w:bCs/>
                <w:color w:val="000000"/>
              </w:rPr>
              <w:t>chirurgie</w:t>
            </w:r>
          </w:p>
        </w:tc>
        <w:tc>
          <w:tcPr>
            <w:tcW w:w="1279" w:type="dxa"/>
            <w:tcBorders>
              <w:bottom w:val="single" w:sz="4" w:space="0" w:color="BFBFBF"/>
            </w:tcBorders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AC4D67">
              <w:rPr>
                <w:bCs/>
                <w:color w:val="000000"/>
              </w:rPr>
              <w:t>obstétrique</w:t>
            </w:r>
          </w:p>
        </w:tc>
        <w:tc>
          <w:tcPr>
            <w:tcW w:w="1279" w:type="dxa"/>
            <w:tcBorders>
              <w:top w:val="single" w:sz="4" w:space="0" w:color="BFBFBF"/>
            </w:tcBorders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pédiatrie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SSR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Psychiatrie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Lits Réanimation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Lits Soins intensifs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Lits S</w:t>
            </w:r>
            <w:r>
              <w:rPr>
                <w:bCs/>
                <w:color w:val="000000"/>
              </w:rPr>
              <w:t>urveillance continue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Boxes Urgence</w:t>
            </w:r>
            <w:r>
              <w:rPr>
                <w:bCs/>
                <w:color w:val="000000"/>
              </w:rPr>
              <w:t>/Lits UHCD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Places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Laboratoires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Blocs opératoire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Ambulatoire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Administration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Logistique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12703C" w:rsidRDefault="002145CE" w:rsidP="00931F8C">
            <w:pPr>
              <w:rPr>
                <w:bCs/>
                <w:i/>
                <w:color w:val="000000"/>
              </w:rPr>
            </w:pPr>
            <w:r w:rsidRPr="0012703C">
              <w:rPr>
                <w:bCs/>
                <w:i/>
                <w:color w:val="000000"/>
              </w:rPr>
              <w:t>Etc. (préciser)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9F2FBC" w:rsidRDefault="002145CE" w:rsidP="00931F8C">
            <w:pPr>
              <w:rPr>
                <w:b/>
                <w:bCs/>
                <w:color w:val="000000"/>
              </w:rPr>
            </w:pPr>
            <w:r w:rsidRPr="009F2FB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79" w:type="dxa"/>
            <w:shd w:val="clear" w:color="auto" w:fill="FFFFFF"/>
          </w:tcPr>
          <w:p w:rsidR="002145CE" w:rsidRPr="009F2FBC" w:rsidRDefault="002145CE" w:rsidP="00931F8C">
            <w:pPr>
              <w:rPr>
                <w:b/>
              </w:rPr>
            </w:pPr>
          </w:p>
        </w:tc>
        <w:tc>
          <w:tcPr>
            <w:tcW w:w="1460" w:type="dxa"/>
            <w:shd w:val="clear" w:color="auto" w:fill="FFFFFF"/>
          </w:tcPr>
          <w:p w:rsidR="002145CE" w:rsidRPr="009F2FBC" w:rsidRDefault="002145CE" w:rsidP="00931F8C">
            <w:pPr>
              <w:rPr>
                <w:b/>
              </w:rPr>
            </w:pPr>
          </w:p>
        </w:tc>
        <w:tc>
          <w:tcPr>
            <w:tcW w:w="1372" w:type="dxa"/>
            <w:shd w:val="clear" w:color="auto" w:fill="FFFFFF"/>
          </w:tcPr>
          <w:p w:rsidR="002145CE" w:rsidRPr="009F2FBC" w:rsidRDefault="002145CE" w:rsidP="00931F8C">
            <w:pPr>
              <w:rPr>
                <w:b/>
              </w:rPr>
            </w:pPr>
          </w:p>
        </w:tc>
        <w:tc>
          <w:tcPr>
            <w:tcW w:w="1570" w:type="dxa"/>
            <w:shd w:val="clear" w:color="auto" w:fill="FFFFFF"/>
          </w:tcPr>
          <w:p w:rsidR="002145CE" w:rsidRPr="009F2FBC" w:rsidRDefault="002145CE" w:rsidP="00931F8C">
            <w:pPr>
              <w:rPr>
                <w:b/>
              </w:rPr>
            </w:pPr>
          </w:p>
        </w:tc>
      </w:tr>
    </w:tbl>
    <w:p w:rsidR="002145CE" w:rsidRDefault="002145CE" w:rsidP="002145CE">
      <w:pPr>
        <w:rPr>
          <w:rFonts w:eastAsia="Arial Unicode MS" w:cs="Arial"/>
          <w:szCs w:val="20"/>
        </w:rPr>
      </w:pPr>
      <w:r w:rsidRPr="00D44A75">
        <w:rPr>
          <w:i/>
        </w:rPr>
        <w:t>* Cette liste doit être complétée / ajustée en fonction des types d’activité impactées par le projet</w:t>
      </w:r>
    </w:p>
    <w:p w:rsidR="002145CE" w:rsidRDefault="002145CE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2145CE" w:rsidRDefault="0031054F" w:rsidP="0031054F">
      <w:pPr>
        <w:pStyle w:val="Titre2"/>
        <w:rPr>
          <w:rFonts w:eastAsia="Calibri"/>
          <w:color w:val="auto"/>
        </w:rPr>
      </w:pPr>
      <w:bookmarkStart w:id="285" w:name="_Toc381191574"/>
      <w:r w:rsidRPr="002145CE">
        <w:rPr>
          <w:rFonts w:eastAsia="Calibri"/>
          <w:color w:val="auto"/>
        </w:rPr>
        <w:t>Organisation spatiale, fonctionnelle et technique</w:t>
      </w:r>
      <w:bookmarkEnd w:id="285"/>
    </w:p>
    <w:p w:rsidR="0031054F" w:rsidRDefault="0031054F" w:rsidP="0031054F">
      <w:pPr>
        <w:pStyle w:val="Titre3"/>
        <w:rPr>
          <w:rFonts w:eastAsia="Calibri"/>
        </w:rPr>
      </w:pPr>
      <w:bookmarkStart w:id="286" w:name="_Toc381191575"/>
      <w:r>
        <w:rPr>
          <w:rFonts w:eastAsia="Calibri"/>
        </w:rPr>
        <w:t>Organisation spatiale</w:t>
      </w:r>
      <w:bookmarkEnd w:id="286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453F90" w:rsidRDefault="0031054F" w:rsidP="0031054F">
      <w:pPr>
        <w:jc w:val="both"/>
        <w:rPr>
          <w:rFonts w:eastAsia="Arial Unicode MS" w:cs="Arial"/>
          <w:i/>
          <w:szCs w:val="20"/>
        </w:rPr>
      </w:pPr>
      <w:r w:rsidRPr="009F2FBC">
        <w:rPr>
          <w:i/>
        </w:rPr>
        <w:t>Présenter succinctement l’organisation spatiale à l’issue du projet d’investissement, notamment en ce qui concerne l’organisation des flux patients, personnels, visiteurs, logistiques et l’organisation par niveau.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2145CE" w:rsidP="0031054F">
      <w:pPr>
        <w:pStyle w:val="Titre3"/>
        <w:jc w:val="both"/>
        <w:rPr>
          <w:rFonts w:eastAsia="Calibri"/>
        </w:rPr>
      </w:pPr>
      <w:bookmarkStart w:id="287" w:name="_Toc377127908"/>
      <w:bookmarkStart w:id="288" w:name="_Toc377128838"/>
      <w:bookmarkStart w:id="289" w:name="_Toc377129765"/>
      <w:bookmarkStart w:id="290" w:name="_Toc377133734"/>
      <w:bookmarkStart w:id="291" w:name="_Toc381191576"/>
      <w:bookmarkEnd w:id="287"/>
      <w:bookmarkEnd w:id="288"/>
      <w:bookmarkEnd w:id="289"/>
      <w:bookmarkEnd w:id="290"/>
      <w:r>
        <w:rPr>
          <w:rFonts w:eastAsia="Calibri"/>
        </w:rPr>
        <w:t>P</w:t>
      </w:r>
      <w:r w:rsidR="0031054F" w:rsidRPr="007D5491">
        <w:rPr>
          <w:rFonts w:eastAsia="Calibri"/>
        </w:rPr>
        <w:t>rincipes retenus en matière de standardisation et de mutualisation des locaux</w:t>
      </w:r>
      <w:bookmarkEnd w:id="291"/>
    </w:p>
    <w:p w:rsidR="0031054F" w:rsidRDefault="0031054F" w:rsidP="0031054F"/>
    <w:p w:rsidR="0031054F" w:rsidRPr="009F2FBC" w:rsidRDefault="0031054F" w:rsidP="0031054F">
      <w:pPr>
        <w:jc w:val="both"/>
        <w:rPr>
          <w:rFonts w:eastAsia="Arial Unicode MS" w:cs="Arial"/>
          <w:i/>
          <w:szCs w:val="20"/>
        </w:rPr>
      </w:pPr>
      <w:r w:rsidRPr="009F2FBC">
        <w:rPr>
          <w:rFonts w:eastAsia="Arial Unicode MS" w:cs="Arial"/>
          <w:i/>
          <w:szCs w:val="20"/>
        </w:rPr>
        <w:t>Indiquer les avantages permis par le projet en mati</w:t>
      </w:r>
      <w:r>
        <w:rPr>
          <w:rFonts w:eastAsia="Arial Unicode MS" w:cs="Arial"/>
          <w:i/>
          <w:szCs w:val="20"/>
        </w:rPr>
        <w:t xml:space="preserve">ère de mutualisation des locaux, </w:t>
      </w:r>
      <w:r w:rsidRPr="009F2FBC">
        <w:rPr>
          <w:rFonts w:eastAsia="Arial Unicode MS" w:cs="Arial"/>
          <w:i/>
          <w:szCs w:val="20"/>
        </w:rPr>
        <w:t>de standardisation et de densification.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292" w:name="_Toc377127911"/>
      <w:bookmarkStart w:id="293" w:name="_Toc377128841"/>
      <w:bookmarkStart w:id="294" w:name="_Toc377129768"/>
      <w:bookmarkStart w:id="295" w:name="_Toc377133737"/>
      <w:bookmarkStart w:id="296" w:name="_Toc377127913"/>
      <w:bookmarkStart w:id="297" w:name="_Toc377128843"/>
      <w:bookmarkStart w:id="298" w:name="_Toc377129770"/>
      <w:bookmarkStart w:id="299" w:name="_Toc377133739"/>
      <w:bookmarkStart w:id="300" w:name="_Toc377127914"/>
      <w:bookmarkStart w:id="301" w:name="_Toc377128844"/>
      <w:bookmarkStart w:id="302" w:name="_Toc377129771"/>
      <w:bookmarkStart w:id="303" w:name="_Toc377133740"/>
      <w:bookmarkStart w:id="304" w:name="_Toc381191577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7D5491">
        <w:rPr>
          <w:rFonts w:eastAsia="Calibri"/>
        </w:rPr>
        <w:t>Principes retenus en matière de développement durable (consommations d’énergie notamment)</w:t>
      </w:r>
      <w:bookmarkEnd w:id="304"/>
    </w:p>
    <w:p w:rsidR="0031054F" w:rsidRDefault="0031054F" w:rsidP="0031054F"/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05" w:name="_Toc381191578"/>
      <w:r w:rsidRPr="007D5491">
        <w:rPr>
          <w:rFonts w:eastAsia="Calibri"/>
        </w:rPr>
        <w:t>Principes retenus en matière de maintenance des installations et d’exploitation du bâtiment</w:t>
      </w:r>
      <w:bookmarkEnd w:id="305"/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</w:t>
      </w:r>
      <w:r w:rsidR="002145CE">
        <w:rPr>
          <w:rFonts w:eastAsia="Arial Unicode MS" w:cs="Arial"/>
          <w:i/>
          <w:szCs w:val="20"/>
        </w:rPr>
        <w:t>établissement</w:t>
      </w:r>
      <w:r>
        <w:rPr>
          <w:rFonts w:eastAsia="Arial Unicode MS" w:cs="Arial"/>
          <w:i/>
          <w:szCs w:val="20"/>
        </w:rPr>
        <w:t xml:space="preserve"> devra renseigner</w:t>
      </w:r>
      <w:r w:rsidRPr="008C30F8">
        <w:rPr>
          <w:rFonts w:eastAsia="Arial Unicode MS" w:cs="Arial"/>
          <w:i/>
          <w:szCs w:val="20"/>
        </w:rPr>
        <w:t xml:space="preserve"> </w:t>
      </w:r>
      <w:r>
        <w:rPr>
          <w:rFonts w:eastAsia="Arial Unicode MS" w:cs="Arial"/>
          <w:i/>
          <w:szCs w:val="20"/>
        </w:rPr>
        <w:t>les ratios avant/</w:t>
      </w:r>
      <w:r w:rsidRPr="008C30F8">
        <w:rPr>
          <w:rFonts w:eastAsia="Arial Unicode MS" w:cs="Arial"/>
          <w:i/>
          <w:szCs w:val="20"/>
        </w:rPr>
        <w:t>après</w:t>
      </w:r>
      <w:r>
        <w:rPr>
          <w:rFonts w:eastAsia="Arial Unicode MS" w:cs="Arial"/>
          <w:i/>
          <w:szCs w:val="20"/>
        </w:rPr>
        <w:t xml:space="preserve"> projet et justifier le cas échéant les écarts par rapport au module 2 de l’outil </w:t>
      </w:r>
      <w:proofErr w:type="spellStart"/>
      <w:r>
        <w:rPr>
          <w:rFonts w:eastAsia="Arial Unicode MS" w:cs="Arial"/>
          <w:i/>
          <w:szCs w:val="20"/>
        </w:rPr>
        <w:t>Aelipce</w:t>
      </w:r>
      <w:proofErr w:type="spellEnd"/>
      <w:r>
        <w:rPr>
          <w:rFonts w:eastAsia="Arial Unicode MS" w:cs="Arial"/>
          <w:i/>
          <w:szCs w:val="20"/>
        </w:rPr>
        <w:t xml:space="preserve">. </w:t>
      </w:r>
    </w:p>
    <w:p w:rsidR="0031054F" w:rsidRPr="00DC10F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Pr="002145CE" w:rsidRDefault="0031054F" w:rsidP="0031054F">
      <w:pPr>
        <w:pStyle w:val="Titre2"/>
        <w:rPr>
          <w:rFonts w:eastAsia="Calibri"/>
          <w:color w:val="auto"/>
        </w:rPr>
      </w:pPr>
      <w:bookmarkStart w:id="306" w:name="_Toc377133778"/>
      <w:bookmarkStart w:id="307" w:name="_Toc377133779"/>
      <w:bookmarkStart w:id="308" w:name="_Toc381191579"/>
      <w:bookmarkEnd w:id="306"/>
      <w:bookmarkEnd w:id="307"/>
      <w:r w:rsidRPr="002145CE">
        <w:rPr>
          <w:rFonts w:eastAsia="Calibri"/>
          <w:color w:val="auto"/>
        </w:rPr>
        <w:lastRenderedPageBreak/>
        <w:t>Modularité du projet</w:t>
      </w:r>
      <w:bookmarkEnd w:id="308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Il s’agit ici </w:t>
      </w:r>
      <w:r>
        <w:rPr>
          <w:rFonts w:ascii="Arial" w:eastAsia="Calibri" w:hAnsi="Arial" w:cs="Arial"/>
          <w:i/>
          <w:sz w:val="20"/>
          <w:szCs w:val="20"/>
        </w:rPr>
        <w:t>de décrire l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es possibilités d’évolution du bâtiment </w:t>
      </w:r>
      <w:r>
        <w:rPr>
          <w:rFonts w:ascii="Arial" w:eastAsia="Calibri" w:hAnsi="Arial" w:cs="Arial"/>
          <w:i/>
          <w:sz w:val="20"/>
          <w:szCs w:val="20"/>
        </w:rPr>
        <w:t xml:space="preserve">envisagés par l’établissement </w:t>
      </w:r>
      <w:r w:rsidRPr="007D5491">
        <w:rPr>
          <w:rFonts w:ascii="Arial" w:eastAsia="Calibri" w:hAnsi="Arial" w:cs="Arial"/>
          <w:i/>
          <w:sz w:val="20"/>
          <w:szCs w:val="20"/>
        </w:rPr>
        <w:t>pour garantir qu’il puisse s’adapter aux évolutions de matériel et de norme</w:t>
      </w:r>
      <w:r>
        <w:rPr>
          <w:rFonts w:ascii="Arial" w:eastAsia="Calibri" w:hAnsi="Arial" w:cs="Arial"/>
          <w:i/>
          <w:sz w:val="20"/>
          <w:szCs w:val="20"/>
        </w:rPr>
        <w:t>s</w:t>
      </w:r>
      <w:r w:rsidRPr="007D5491">
        <w:rPr>
          <w:rFonts w:ascii="Arial" w:eastAsia="Calibri" w:hAnsi="Arial" w:cs="Arial"/>
          <w:i/>
          <w:sz w:val="20"/>
          <w:szCs w:val="20"/>
        </w:rPr>
        <w:t>, voire aux changements d’activités et ainsi éviter de précipiter un nouvel investissement.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2145CE" w:rsidRDefault="0031054F" w:rsidP="0031054F">
      <w:pPr>
        <w:pStyle w:val="Titre2"/>
        <w:rPr>
          <w:color w:val="auto"/>
        </w:rPr>
      </w:pPr>
      <w:bookmarkStart w:id="309" w:name="_Toc381191580"/>
      <w:r w:rsidRPr="002145CE">
        <w:rPr>
          <w:color w:val="auto"/>
        </w:rPr>
        <w:t>Coût des travaux</w:t>
      </w:r>
      <w:bookmarkEnd w:id="309"/>
    </w:p>
    <w:p w:rsidR="0031054F" w:rsidRDefault="0031054F" w:rsidP="0031054F"/>
    <w:p w:rsidR="0031054F" w:rsidRPr="007D5491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L’</w:t>
      </w:r>
      <w:r w:rsidR="002145CE">
        <w:rPr>
          <w:rFonts w:cs="Arial"/>
          <w:i/>
          <w:szCs w:val="20"/>
        </w:rPr>
        <w:t>établissement</w:t>
      </w:r>
      <w:r>
        <w:rPr>
          <w:rFonts w:cs="Arial"/>
          <w:i/>
          <w:szCs w:val="20"/>
        </w:rPr>
        <w:t xml:space="preserve"> p</w:t>
      </w:r>
      <w:r w:rsidRPr="007D5491">
        <w:rPr>
          <w:rFonts w:cs="Arial"/>
          <w:i/>
          <w:szCs w:val="20"/>
        </w:rPr>
        <w:t>réciser</w:t>
      </w:r>
      <w:r>
        <w:rPr>
          <w:rFonts w:cs="Arial"/>
          <w:i/>
          <w:szCs w:val="20"/>
        </w:rPr>
        <w:t>a</w:t>
      </w:r>
      <w:r w:rsidRPr="007D5491">
        <w:rPr>
          <w:rFonts w:cs="Arial"/>
          <w:i/>
          <w:szCs w:val="20"/>
        </w:rPr>
        <w:t xml:space="preserve">, le cas échéant, les particularités de l’opération (sismicité, fondations spéciales, hélistation, parking souterrain, contraintes de classement du site ou du bâtiment, </w:t>
      </w:r>
      <w:proofErr w:type="spellStart"/>
      <w:r w:rsidRPr="007D5491">
        <w:rPr>
          <w:rFonts w:cs="Arial"/>
          <w:i/>
          <w:szCs w:val="20"/>
        </w:rPr>
        <w:t>paracyclonique</w:t>
      </w:r>
      <w:proofErr w:type="spellEnd"/>
      <w:r w:rsidRPr="007D5491">
        <w:rPr>
          <w:rFonts w:cs="Arial"/>
          <w:i/>
          <w:szCs w:val="20"/>
        </w:rPr>
        <w:t xml:space="preserve">, servitudes diverses,…) 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Dans le cas où le projet est constitué de plusieurs sous-opérations, il conviendra de détailler le coût par sous-opération.</w:t>
      </w:r>
    </w:p>
    <w:p w:rsidR="0031054F" w:rsidRPr="00AC4D67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76170E" w:rsidP="0076170E">
      <w:pPr>
        <w:jc w:val="both"/>
        <w:rPr>
          <w:rFonts w:eastAsia="Arial Unicode MS" w:cs="Arial"/>
          <w:i/>
          <w:szCs w:val="20"/>
        </w:rPr>
      </w:pPr>
      <w:r w:rsidRPr="0076170E">
        <w:rPr>
          <w:rFonts w:eastAsia="Arial Unicode MS" w:cs="Arial"/>
          <w:i/>
          <w:szCs w:val="20"/>
        </w:rPr>
        <w:t>L’</w:t>
      </w:r>
      <w:r w:rsidR="002145CE">
        <w:rPr>
          <w:rFonts w:eastAsia="Arial Unicode MS" w:cs="Arial"/>
          <w:i/>
          <w:szCs w:val="20"/>
        </w:rPr>
        <w:t>établissement</w:t>
      </w:r>
      <w:r w:rsidRPr="0076170E">
        <w:rPr>
          <w:rFonts w:eastAsia="Arial Unicode MS" w:cs="Arial"/>
          <w:i/>
          <w:szCs w:val="20"/>
        </w:rPr>
        <w:t xml:space="preserve"> devra justifier les modalités de calcul retenues pour la détermination du coût des travaux, en s’appuyant sur les données de l’observatoire des coûts de la construction hospitalière (à comparer à même date)</w:t>
      </w:r>
      <w:r>
        <w:rPr>
          <w:rFonts w:eastAsia="Arial Unicode MS" w:cs="Arial"/>
          <w:i/>
          <w:szCs w:val="20"/>
        </w:rPr>
        <w:t>.</w:t>
      </w:r>
    </w:p>
    <w:p w:rsidR="002145CE" w:rsidRDefault="002145CE" w:rsidP="0076170E">
      <w:pPr>
        <w:jc w:val="both"/>
        <w:rPr>
          <w:rFonts w:eastAsia="Arial Unicode MS" w:cs="Arial"/>
          <w:i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857"/>
        <w:gridCol w:w="943"/>
        <w:gridCol w:w="1030"/>
      </w:tblGrid>
      <w:tr w:rsidR="002145CE" w:rsidRPr="00D55856" w:rsidTr="00931F8C">
        <w:trPr>
          <w:trHeight w:val="296"/>
        </w:trPr>
        <w:tc>
          <w:tcPr>
            <w:tcW w:w="0" w:type="auto"/>
            <w:shd w:val="clear" w:color="auto" w:fill="F2F2F2"/>
            <w:vAlign w:val="center"/>
          </w:tcPr>
          <w:p w:rsidR="002145CE" w:rsidRPr="00355397" w:rsidRDefault="002145CE" w:rsidP="00931F8C">
            <w:pPr>
              <w:rPr>
                <w:b/>
                <w:bCs/>
              </w:rPr>
            </w:pPr>
            <w:r w:rsidRPr="00355397">
              <w:rPr>
                <w:b/>
                <w:bCs/>
              </w:rPr>
              <w:t>Détail du coût du projet en k€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145CE" w:rsidRPr="006A28B4" w:rsidRDefault="002145CE" w:rsidP="00931F8C">
            <w:pPr>
              <w:pStyle w:val="Figuretext"/>
              <w:jc w:val="center"/>
              <w:rPr>
                <w:rFonts w:cs="Minion Pro"/>
                <w:b/>
                <w:i/>
                <w:color w:val="auto"/>
                <w:sz w:val="22"/>
                <w:szCs w:val="22"/>
                <w:lang w:val="fr-FR"/>
              </w:rPr>
            </w:pPr>
            <w:r w:rsidRPr="006A28B4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>Coût HT</w:t>
            </w:r>
          </w:p>
        </w:tc>
        <w:tc>
          <w:tcPr>
            <w:tcW w:w="0" w:type="auto"/>
            <w:shd w:val="clear" w:color="auto" w:fill="F2F2F2"/>
          </w:tcPr>
          <w:p w:rsidR="002145CE" w:rsidRPr="006A28B4" w:rsidRDefault="002145CE" w:rsidP="00931F8C">
            <w:pPr>
              <w:pStyle w:val="Figuretext"/>
              <w:jc w:val="center"/>
              <w:rPr>
                <w:rFonts w:cs="Minion Pro"/>
                <w:b/>
                <w:color w:val="auto"/>
                <w:sz w:val="22"/>
                <w:szCs w:val="22"/>
                <w:highlight w:val="yellow"/>
                <w:lang w:val="fr-FR"/>
              </w:rPr>
            </w:pPr>
            <w:r w:rsidRPr="006A28B4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>Coût TTC</w:t>
            </w:r>
          </w:p>
        </w:tc>
      </w:tr>
      <w:tr w:rsidR="002145CE" w:rsidRPr="00D5585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rPr>
                <w:bCs/>
              </w:rPr>
              <w:t xml:space="preserve">Cout du foncier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t>Frais d'honoraires / architectes / bureau d'études/ Assurances…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355433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Default="002145CE" w:rsidP="00931F8C">
            <w:pPr>
              <w:rPr>
                <w:bCs/>
              </w:rPr>
            </w:pPr>
            <w:r>
              <w:t xml:space="preserve">Travaux préliminaires (Frais de démolition, terrassement…)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364"/>
        </w:trPr>
        <w:tc>
          <w:tcPr>
            <w:tcW w:w="0" w:type="auto"/>
            <w:shd w:val="clear" w:color="auto" w:fill="FFFFFF"/>
            <w:vAlign w:val="center"/>
          </w:tcPr>
          <w:p w:rsidR="002145CE" w:rsidRDefault="002145CE" w:rsidP="00931F8C">
            <w:pPr>
              <w:rPr>
                <w:bCs/>
              </w:rPr>
            </w:pPr>
            <w:r>
              <w:t xml:space="preserve">Frais de désamiantage et de dépollution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FC31E6" w:rsidRDefault="002145CE" w:rsidP="00931F8C">
            <w:pPr>
              <w:rPr>
                <w:bCs/>
              </w:rPr>
            </w:pPr>
            <w:r w:rsidRPr="006A28B4">
              <w:rPr>
                <w:bCs/>
              </w:rPr>
              <w:t>Provision pour aléas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FC31E6" w:rsidRDefault="002145CE" w:rsidP="00931F8C">
            <w:pPr>
              <w:rPr>
                <w:bCs/>
              </w:rPr>
            </w:pPr>
            <w:r w:rsidRPr="00FC31E6">
              <w:rPr>
                <w:bCs/>
              </w:rPr>
              <w:t xml:space="preserve">Coût de la construction (hors VRD)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rPr>
                <w:bCs/>
              </w:rPr>
              <w:t xml:space="preserve">Coût de la restructuration (hors VDR)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t xml:space="preserve">Coût des VRD et aménagement des abords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t>Coût des parkings (précisez enterré, non enterré)</w:t>
            </w: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D55856" w:rsidTr="00931F8C">
        <w:trPr>
          <w:trHeight w:val="296"/>
        </w:trPr>
        <w:tc>
          <w:tcPr>
            <w:tcW w:w="0" w:type="auto"/>
            <w:shd w:val="pct15" w:color="auto" w:fill="FFFFFF"/>
            <w:vAlign w:val="center"/>
          </w:tcPr>
          <w:p w:rsidR="002145CE" w:rsidRPr="008600F2" w:rsidRDefault="002145CE" w:rsidP="00931F8C">
            <w:pPr>
              <w:rPr>
                <w:b/>
                <w:bCs/>
              </w:rPr>
            </w:pPr>
            <w:r w:rsidRPr="008600F2">
              <w:rPr>
                <w:b/>
              </w:rPr>
              <w:t>Sous-total travaux</w:t>
            </w:r>
          </w:p>
        </w:tc>
        <w:tc>
          <w:tcPr>
            <w:tcW w:w="0" w:type="auto"/>
            <w:shd w:val="pct15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4" w:space="0" w:color="808080"/>
            </w:tcBorders>
            <w:shd w:val="pct15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5B6B86" w:rsidRDefault="002145CE" w:rsidP="00931F8C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d</w:t>
            </w:r>
            <w:r w:rsidRPr="005B6B86">
              <w:rPr>
                <w:bCs/>
                <w:i/>
              </w:rPr>
              <w:t>ont : évaluer le coût de la construction neuve</w:t>
            </w:r>
            <w:r>
              <w:rPr>
                <w:bCs/>
                <w:i/>
              </w:rPr>
              <w:t xml:space="preserve"> (a)</w:t>
            </w:r>
            <w:r w:rsidRPr="005B6B86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5B6B86" w:rsidRDefault="002145CE" w:rsidP="00931F8C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d</w:t>
            </w:r>
            <w:r w:rsidRPr="005B6B86">
              <w:rPr>
                <w:bCs/>
                <w:i/>
              </w:rPr>
              <w:t>ont  évaluer le coût de la restructuration</w:t>
            </w:r>
            <w:r>
              <w:rPr>
                <w:bCs/>
                <w:i/>
              </w:rPr>
              <w:t xml:space="preserve"> (b)</w:t>
            </w:r>
            <w:r w:rsidRPr="005B6B86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 w:rsidRPr="00122066">
              <w:rPr>
                <w:bCs/>
              </w:rPr>
              <w:t xml:space="preserve">Coût d'acquisition du mobilier et équipements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D55856" w:rsidTr="00931F8C">
        <w:trPr>
          <w:trHeight w:val="296"/>
        </w:trPr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rPr>
                <w:bCs/>
              </w:rPr>
              <w:t xml:space="preserve">Coût des SI </w:t>
            </w: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3F0D9D" w:rsidTr="00931F8C">
        <w:trPr>
          <w:trHeight w:val="296"/>
        </w:trPr>
        <w:tc>
          <w:tcPr>
            <w:tcW w:w="0" w:type="auto"/>
            <w:shd w:val="pct15" w:color="auto" w:fill="FFFFFF"/>
            <w:vAlign w:val="center"/>
          </w:tcPr>
          <w:p w:rsidR="002145CE" w:rsidRPr="005B6B86" w:rsidRDefault="002145CE" w:rsidP="00931F8C">
            <w:pPr>
              <w:rPr>
                <w:b/>
                <w:bCs/>
              </w:rPr>
            </w:pPr>
            <w:r w:rsidRPr="005B6B86">
              <w:rPr>
                <w:b/>
                <w:bCs/>
              </w:rPr>
              <w:t xml:space="preserve">Coût Total </w:t>
            </w:r>
            <w:r>
              <w:rPr>
                <w:b/>
                <w:bCs/>
              </w:rPr>
              <w:t xml:space="preserve">valeur actuelle </w:t>
            </w:r>
            <w:r w:rsidRPr="003F0D9D">
              <w:rPr>
                <w:bCs/>
              </w:rPr>
              <w:t>(dat</w:t>
            </w:r>
            <w:r>
              <w:rPr>
                <w:bCs/>
              </w:rPr>
              <w:t>e</w:t>
            </w:r>
            <w:r w:rsidRPr="003F0D9D">
              <w:rPr>
                <w:bCs/>
              </w:rPr>
              <w:t xml:space="preserve"> à préciser)</w:t>
            </w:r>
          </w:p>
        </w:tc>
        <w:tc>
          <w:tcPr>
            <w:tcW w:w="0" w:type="auto"/>
            <w:shd w:val="pct15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4" w:space="0" w:color="808080"/>
            </w:tcBorders>
            <w:shd w:val="pct15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D55856" w:rsidTr="00931F8C">
        <w:trPr>
          <w:trHeight w:val="296"/>
        </w:trPr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3F0D9D" w:rsidRDefault="002145CE" w:rsidP="00931F8C">
            <w:pPr>
              <w:rPr>
                <w:bCs/>
              </w:rPr>
            </w:pPr>
            <w:r w:rsidRPr="003F0D9D">
              <w:rPr>
                <w:bCs/>
              </w:rPr>
              <w:t>Impact de la révision des prix</w:t>
            </w:r>
            <w:r>
              <w:rPr>
                <w:bCs/>
              </w:rPr>
              <w:t xml:space="preserve"> (taux à préciser)</w:t>
            </w: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pct15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 w:rsidRPr="005B6B86">
              <w:rPr>
                <w:b/>
                <w:bCs/>
              </w:rPr>
              <w:t xml:space="preserve">Coût Total </w:t>
            </w:r>
            <w:r>
              <w:rPr>
                <w:b/>
                <w:bCs/>
              </w:rPr>
              <w:t xml:space="preserve">en valeur fin de chantier </w:t>
            </w:r>
          </w:p>
        </w:tc>
        <w:tc>
          <w:tcPr>
            <w:tcW w:w="0" w:type="auto"/>
            <w:shd w:val="pct15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4" w:space="0" w:color="808080"/>
            </w:tcBorders>
            <w:shd w:val="pct15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 w:rsidRPr="00122066">
              <w:rPr>
                <w:bCs/>
              </w:rPr>
              <w:t>Ratio coûts c</w:t>
            </w:r>
            <w:r>
              <w:rPr>
                <w:bCs/>
              </w:rPr>
              <w:t xml:space="preserve">onstruction / </w:t>
            </w:r>
            <w:r w:rsidRPr="00122066">
              <w:rPr>
                <w:bCs/>
              </w:rPr>
              <w:t xml:space="preserve">m² </w:t>
            </w:r>
            <w:r>
              <w:rPr>
                <w:bCs/>
              </w:rPr>
              <w:t xml:space="preserve">construits </w:t>
            </w:r>
            <w:r w:rsidRPr="00122066">
              <w:rPr>
                <w:bCs/>
              </w:rPr>
              <w:t>SDO (=</w:t>
            </w:r>
            <w:r>
              <w:rPr>
                <w:bCs/>
              </w:rPr>
              <w:t>a</w:t>
            </w:r>
            <w:r w:rsidRPr="00122066">
              <w:rPr>
                <w:bCs/>
              </w:rPr>
              <w:t>/</w:t>
            </w:r>
            <w:r>
              <w:rPr>
                <w:bCs/>
              </w:rPr>
              <w:t>m² SDO construits</w:t>
            </w:r>
            <w:r w:rsidRPr="00122066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622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 w:rsidRPr="00122066">
              <w:rPr>
                <w:bCs/>
              </w:rPr>
              <w:t xml:space="preserve">Ratio coûts restructuration / m² </w:t>
            </w:r>
            <w:r>
              <w:rPr>
                <w:bCs/>
              </w:rPr>
              <w:t xml:space="preserve">restructurés </w:t>
            </w:r>
            <w:r w:rsidRPr="00122066">
              <w:rPr>
                <w:bCs/>
              </w:rPr>
              <w:t>SDO (=</w:t>
            </w:r>
            <w:r>
              <w:rPr>
                <w:bCs/>
              </w:rPr>
              <w:t>b</w:t>
            </w:r>
            <w:r w:rsidRPr="00122066">
              <w:rPr>
                <w:bCs/>
              </w:rPr>
              <w:t>/</w:t>
            </w:r>
            <w:r>
              <w:rPr>
                <w:bCs/>
              </w:rPr>
              <w:t>m² SDO restructurés</w:t>
            </w:r>
            <w:r w:rsidRPr="00122066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</w:tbl>
    <w:p w:rsidR="002145CE" w:rsidRPr="0076170E" w:rsidRDefault="002145CE" w:rsidP="0076170E">
      <w:pPr>
        <w:jc w:val="both"/>
        <w:rPr>
          <w:rFonts w:eastAsia="Arial Unicode MS" w:cs="Arial"/>
          <w:i/>
          <w:szCs w:val="20"/>
        </w:rPr>
      </w:pPr>
    </w:p>
    <w:p w:rsidR="0031054F" w:rsidRPr="007540F9" w:rsidRDefault="0031054F" w:rsidP="0031054F">
      <w:pPr>
        <w:pStyle w:val="Titre2"/>
        <w:rPr>
          <w:color w:val="auto"/>
        </w:rPr>
      </w:pPr>
      <w:bookmarkStart w:id="310" w:name="_Toc372105423"/>
      <w:bookmarkStart w:id="311" w:name="_Toc381191581"/>
      <w:r w:rsidRPr="007540F9">
        <w:rPr>
          <w:color w:val="auto"/>
        </w:rPr>
        <w:t>Calendrier prévisionnel des décaissements</w:t>
      </w:r>
      <w:bookmarkEnd w:id="310"/>
      <w:bookmarkEnd w:id="311"/>
    </w:p>
    <w:p w:rsidR="0031054F" w:rsidRDefault="0031054F" w:rsidP="0031054F"/>
    <w:p w:rsidR="0031054F" w:rsidRPr="00E20514" w:rsidRDefault="007540F9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L’établissement</w:t>
      </w:r>
      <w:r w:rsidR="0031054F">
        <w:rPr>
          <w:rFonts w:eastAsia="Arial Unicode MS" w:cs="Arial"/>
          <w:i/>
          <w:szCs w:val="20"/>
        </w:rPr>
        <w:t xml:space="preserve"> évaluera la cohérence des décaissements prévisionnels au regard du calendrier et de la nature des travaux. </w:t>
      </w:r>
      <w:r w:rsidR="0031054F" w:rsidRPr="00E20514">
        <w:rPr>
          <w:rFonts w:eastAsia="Arial Unicode MS" w:cs="Arial"/>
          <w:i/>
          <w:szCs w:val="20"/>
        </w:rPr>
        <w:t>Sont compris dans ces décaissements</w:t>
      </w:r>
      <w:r w:rsidR="0031054F">
        <w:rPr>
          <w:rFonts w:eastAsia="Arial Unicode MS" w:cs="Arial"/>
          <w:i/>
          <w:szCs w:val="20"/>
        </w:rPr>
        <w:t>,</w:t>
      </w:r>
      <w:r w:rsidR="0031054F" w:rsidRPr="00E20514">
        <w:rPr>
          <w:rFonts w:eastAsia="Arial Unicode MS" w:cs="Arial"/>
          <w:i/>
          <w:szCs w:val="20"/>
        </w:rPr>
        <w:t xml:space="preserve"> tous les coûts liés au projet, qu’ils </w:t>
      </w:r>
      <w:r w:rsidR="0031054F">
        <w:rPr>
          <w:rFonts w:eastAsia="Arial Unicode MS" w:cs="Arial"/>
          <w:i/>
          <w:szCs w:val="20"/>
        </w:rPr>
        <w:t xml:space="preserve">s’agissent </w:t>
      </w:r>
      <w:r w:rsidR="0031054F" w:rsidRPr="00E20514">
        <w:rPr>
          <w:rFonts w:eastAsia="Arial Unicode MS" w:cs="Arial"/>
          <w:i/>
          <w:szCs w:val="20"/>
        </w:rPr>
        <w:t>des coûts d’étude</w:t>
      </w:r>
      <w:r w:rsidR="0031054F">
        <w:rPr>
          <w:rFonts w:eastAsia="Arial Unicode MS" w:cs="Arial"/>
          <w:i/>
          <w:szCs w:val="20"/>
        </w:rPr>
        <w:t>s,</w:t>
      </w:r>
      <w:r w:rsidR="0031054F" w:rsidRPr="00E20514">
        <w:rPr>
          <w:rFonts w:eastAsia="Arial Unicode MS" w:cs="Arial"/>
          <w:i/>
          <w:szCs w:val="20"/>
        </w:rPr>
        <w:t xml:space="preserve"> d’acquisition de terrains, de construction, d’acquisition des équipements lourds et moyennement lourds (IRM, Scanners, équipements de salles de blocs opératoires, mobili</w:t>
      </w:r>
      <w:r w:rsidR="0031054F">
        <w:rPr>
          <w:rFonts w:eastAsia="Arial Unicode MS" w:cs="Arial"/>
          <w:i/>
          <w:szCs w:val="20"/>
        </w:rPr>
        <w:t>er acquis de façon exceptionnel, etc.</w:t>
      </w:r>
      <w:r w:rsidR="0031054F" w:rsidRPr="00E20514">
        <w:rPr>
          <w:rFonts w:eastAsia="Arial Unicode MS" w:cs="Arial"/>
          <w:i/>
          <w:szCs w:val="20"/>
        </w:rPr>
        <w:t>)</w:t>
      </w:r>
      <w:r w:rsidR="0031054F">
        <w:rPr>
          <w:rFonts w:eastAsia="Arial Unicode MS" w:cs="Arial"/>
          <w:i/>
          <w:szCs w:val="20"/>
        </w:rPr>
        <w:t>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  <w:r w:rsidRPr="00B17002">
        <w:rPr>
          <w:rFonts w:ascii="Arial" w:hAnsi="Arial" w:cs="Arial"/>
          <w:i/>
          <w:kern w:val="0"/>
          <w:sz w:val="20"/>
          <w:szCs w:val="20"/>
          <w:lang w:eastAsia="en-US"/>
        </w:rPr>
        <w:t xml:space="preserve">Insérer </w:t>
      </w:r>
      <w:r>
        <w:rPr>
          <w:rFonts w:ascii="Arial" w:hAnsi="Arial" w:cs="Arial"/>
          <w:i/>
          <w:kern w:val="0"/>
          <w:sz w:val="20"/>
          <w:szCs w:val="20"/>
          <w:lang w:eastAsia="en-US"/>
        </w:rPr>
        <w:t>un</w:t>
      </w:r>
      <w:r w:rsidRPr="00B17002">
        <w:rPr>
          <w:rFonts w:ascii="Arial" w:hAnsi="Arial" w:cs="Arial"/>
          <w:i/>
          <w:kern w:val="0"/>
          <w:sz w:val="20"/>
          <w:szCs w:val="20"/>
          <w:lang w:eastAsia="en-US"/>
        </w:rPr>
        <w:t xml:space="preserve"> planning (études et travaux) du projet pour corréler les décaissements prévisionnels.</w:t>
      </w:r>
    </w:p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7540F9" w:rsidRPr="00D55856" w:rsidTr="00931F8C">
        <w:trPr>
          <w:trHeight w:val="274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7540F9" w:rsidRPr="00D44A75" w:rsidRDefault="007540F9" w:rsidP="00931F8C">
            <w:pPr>
              <w:pStyle w:val="Figuretext"/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</w:pPr>
            <w:r w:rsidRPr="00D44A75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 xml:space="preserve">Décaissements prévisionnels </w:t>
            </w: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2F2F2"/>
            <w:vAlign w:val="center"/>
          </w:tcPr>
          <w:p w:rsidR="007540F9" w:rsidRPr="00E101E4" w:rsidRDefault="007540F9" w:rsidP="00931F8C">
            <w:pPr>
              <w:jc w:val="center"/>
              <w:rPr>
                <w:b/>
                <w:bCs/>
              </w:rPr>
            </w:pPr>
            <w:r w:rsidRPr="00E101E4">
              <w:rPr>
                <w:b/>
                <w:bCs/>
              </w:rPr>
              <w:t>Année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</w:pPr>
            <w:r w:rsidRPr="00D44A75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>Montant prévisionnel des décaissements</w:t>
            </w:r>
            <w:r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 xml:space="preserve"> en K€</w:t>
            </w: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Pr="00122066" w:rsidRDefault="007540F9" w:rsidP="00931F8C">
            <w:pPr>
              <w:rPr>
                <w:bCs/>
              </w:rPr>
            </w:pPr>
            <w:r>
              <w:rPr>
                <w:bCs/>
              </w:rPr>
              <w:t>Avant aujourd’hui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N+2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N+ 3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N+ 4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N+ 5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Pr="009F6578" w:rsidRDefault="007540F9" w:rsidP="00931F8C">
            <w:pPr>
              <w:rPr>
                <w:b/>
                <w:bCs/>
              </w:rPr>
            </w:pPr>
            <w:r w:rsidRPr="009F6578">
              <w:rPr>
                <w:b/>
                <w:bCs/>
              </w:rPr>
              <w:t>TOTAL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</w:tbl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:rsidR="0031054F" w:rsidRPr="007D5491" w:rsidRDefault="007540F9" w:rsidP="0031054F">
      <w:pPr>
        <w:pStyle w:val="Titre1"/>
      </w:pPr>
      <w:bookmarkStart w:id="312" w:name="_Toc381191582"/>
      <w:r>
        <w:t>A</w:t>
      </w:r>
      <w:r w:rsidR="0031054F" w:rsidRPr="007D5491">
        <w:t>nalyse et validation du plan de financement envisagé</w:t>
      </w:r>
      <w:bookmarkEnd w:id="312"/>
    </w:p>
    <w:p w:rsidR="0031054F" w:rsidRDefault="0031054F" w:rsidP="0031054F">
      <w:pPr>
        <w:outlineLvl w:val="0"/>
        <w:rPr>
          <w:rFonts w:cs="Arial"/>
          <w:szCs w:val="20"/>
          <w:u w:val="single"/>
        </w:rPr>
      </w:pPr>
    </w:p>
    <w:p w:rsidR="0031054F" w:rsidRPr="007540F9" w:rsidRDefault="0031054F" w:rsidP="0031054F">
      <w:pPr>
        <w:pStyle w:val="Titre2"/>
        <w:rPr>
          <w:color w:val="auto"/>
        </w:rPr>
      </w:pPr>
      <w:bookmarkStart w:id="313" w:name="_Toc377133785"/>
      <w:bookmarkStart w:id="314" w:name="_Toc377133786"/>
      <w:bookmarkStart w:id="315" w:name="_Toc377133788"/>
      <w:bookmarkStart w:id="316" w:name="_Toc381191583"/>
      <w:bookmarkEnd w:id="313"/>
      <w:bookmarkEnd w:id="314"/>
      <w:bookmarkEnd w:id="315"/>
      <w:r w:rsidRPr="007540F9">
        <w:rPr>
          <w:color w:val="auto"/>
        </w:rPr>
        <w:t>Analyse des impacts financiers</w:t>
      </w:r>
      <w:bookmarkEnd w:id="316"/>
    </w:p>
    <w:p w:rsidR="0031054F" w:rsidRPr="00B17002" w:rsidRDefault="0031054F" w:rsidP="0031054F">
      <w:pPr>
        <w:pStyle w:val="Titre3"/>
        <w:rPr>
          <w:rFonts w:eastAsia="Calibri"/>
        </w:rPr>
      </w:pPr>
      <w:bookmarkStart w:id="317" w:name="_Toc381191584"/>
      <w:r w:rsidRPr="00B17002">
        <w:rPr>
          <w:rFonts w:eastAsia="Calibri"/>
        </w:rPr>
        <w:t>Synthèse des gains (retour sur investissement)</w:t>
      </w:r>
      <w:bookmarkEnd w:id="317"/>
    </w:p>
    <w:p w:rsidR="0031054F" w:rsidRDefault="0031054F" w:rsidP="0031054F">
      <w:pPr>
        <w:ind w:left="576"/>
      </w:pPr>
    </w:p>
    <w:p w:rsidR="0031054F" w:rsidRDefault="0031054F" w:rsidP="0031054F">
      <w:pPr>
        <w:jc w:val="both"/>
        <w:rPr>
          <w:i/>
        </w:rPr>
      </w:pPr>
      <w:r>
        <w:rPr>
          <w:i/>
        </w:rPr>
        <w:t>L’</w:t>
      </w:r>
      <w:r w:rsidR="007540F9">
        <w:rPr>
          <w:i/>
        </w:rPr>
        <w:t xml:space="preserve">établissement évaluera les </w:t>
      </w:r>
      <w:r>
        <w:rPr>
          <w:i/>
        </w:rPr>
        <w:t xml:space="preserve">gains issus du </w:t>
      </w:r>
      <w:r w:rsidRPr="00D44A75">
        <w:rPr>
          <w:i/>
        </w:rPr>
        <w:t>retour sur investissement du projet</w:t>
      </w:r>
      <w:r>
        <w:rPr>
          <w:i/>
        </w:rPr>
        <w:t xml:space="preserve"> et vérifiera que les pistes d’optimisation ont été recherchées.</w:t>
      </w:r>
    </w:p>
    <w:p w:rsidR="007540F9" w:rsidRDefault="007540F9" w:rsidP="0031054F">
      <w:pPr>
        <w:jc w:val="both"/>
        <w:rPr>
          <w:i/>
        </w:rPr>
      </w:pPr>
    </w:p>
    <w:p w:rsidR="007540F9" w:rsidRPr="00226945" w:rsidRDefault="007540F9" w:rsidP="007540F9">
      <w:pPr>
        <w:rPr>
          <w:i/>
        </w:rPr>
      </w:pPr>
      <w:r w:rsidRPr="00226945">
        <w:rPr>
          <w:b/>
        </w:rPr>
        <w:t>Présentation des gains liés au projet d’investissement</w:t>
      </w:r>
      <w:r w:rsidRPr="00226945">
        <w:t xml:space="preserve"> </w:t>
      </w:r>
      <w:r>
        <w:rPr>
          <w:i/>
        </w:rPr>
        <w:t xml:space="preserve">(tableau ci-dessous à dupliquer </w:t>
      </w:r>
      <w:r w:rsidRPr="00226945">
        <w:rPr>
          <w:i/>
        </w:rPr>
        <w:t>en fonction du nombre de gains)</w:t>
      </w:r>
    </w:p>
    <w:p w:rsidR="007540F9" w:rsidRPr="00D44A75" w:rsidRDefault="007540F9" w:rsidP="007540F9">
      <w:pPr>
        <w:rPr>
          <w:u w:val="single"/>
        </w:rPr>
      </w:pPr>
    </w:p>
    <w:tbl>
      <w:tblPr>
        <w:tblW w:w="971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42"/>
        <w:gridCol w:w="3693"/>
        <w:gridCol w:w="4784"/>
      </w:tblGrid>
      <w:tr w:rsidR="007540F9" w:rsidTr="00931F8C">
        <w:trPr>
          <w:trHeight w:val="275"/>
        </w:trPr>
        <w:tc>
          <w:tcPr>
            <w:tcW w:w="1242" w:type="dxa"/>
            <w:vMerge w:val="restart"/>
            <w:shd w:val="clear" w:color="auto" w:fill="FFFFFF"/>
            <w:vAlign w:val="center"/>
          </w:tcPr>
          <w:p w:rsidR="007540F9" w:rsidRPr="00057A40" w:rsidRDefault="007540F9" w:rsidP="00931F8C">
            <w:pPr>
              <w:jc w:val="center"/>
              <w:rPr>
                <w:b/>
              </w:rPr>
            </w:pPr>
            <w:r>
              <w:rPr>
                <w:b/>
              </w:rPr>
              <w:t>Gain</w:t>
            </w:r>
            <w:r w:rsidRPr="00057A40">
              <w:rPr>
                <w:b/>
              </w:rPr>
              <w:t xml:space="preserve"> 1</w:t>
            </w:r>
          </w:p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 xml:space="preserve">Libellé 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>Calendrier</w:t>
            </w:r>
          </w:p>
        </w:tc>
        <w:tc>
          <w:tcPr>
            <w:tcW w:w="4784" w:type="dxa"/>
            <w:shd w:val="clear" w:color="auto" w:fill="FFFFFF"/>
          </w:tcPr>
          <w:p w:rsidR="007540F9" w:rsidRPr="00AB5FD3" w:rsidRDefault="007540F9" w:rsidP="00931F8C">
            <w:pPr>
              <w:rPr>
                <w:i/>
              </w:rPr>
            </w:pPr>
          </w:p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2F2F2"/>
          </w:tcPr>
          <w:p w:rsidR="007540F9" w:rsidRDefault="007540F9" w:rsidP="00931F8C">
            <w:r>
              <w:t xml:space="preserve">Impacts sur : </w:t>
            </w:r>
          </w:p>
        </w:tc>
        <w:tc>
          <w:tcPr>
            <w:tcW w:w="4784" w:type="dxa"/>
            <w:shd w:val="clear" w:color="auto" w:fill="F2F2F2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>Nombre de séjours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>Nombre de lits et places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>ETP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pPr>
              <w:jc w:val="right"/>
            </w:pPr>
            <w:r>
              <w:t>Charges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pPr>
              <w:jc w:val="right"/>
            </w:pPr>
            <w:r>
              <w:t>Produits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Pr="00CF5880" w:rsidRDefault="007540F9" w:rsidP="00931F8C">
            <w:pPr>
              <w:jc w:val="right"/>
              <w:rPr>
                <w:b/>
              </w:rPr>
            </w:pPr>
            <w:r w:rsidRPr="00CF5880">
              <w:rPr>
                <w:b/>
              </w:rPr>
              <w:t>Gain net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</w:tbl>
    <w:p w:rsidR="007540F9" w:rsidRPr="00D44A75" w:rsidRDefault="007540F9" w:rsidP="0031054F">
      <w:pPr>
        <w:jc w:val="both"/>
        <w:rPr>
          <w:i/>
        </w:rPr>
      </w:pPr>
    </w:p>
    <w:p w:rsidR="0031054F" w:rsidRDefault="0031054F" w:rsidP="0031054F">
      <w:pPr>
        <w:rPr>
          <w:i/>
        </w:rPr>
      </w:pPr>
    </w:p>
    <w:p w:rsidR="0031054F" w:rsidRPr="00570D84" w:rsidRDefault="0031054F" w:rsidP="0031054F">
      <w:pPr>
        <w:pStyle w:val="Titre3"/>
        <w:rPr>
          <w:rFonts w:eastAsia="Calibri"/>
        </w:rPr>
      </w:pPr>
      <w:bookmarkStart w:id="318" w:name="_Toc381191585"/>
      <w:r w:rsidRPr="00570D84">
        <w:rPr>
          <w:rFonts w:eastAsia="Calibri"/>
        </w:rPr>
        <w:t>Charges de titre 1 (avant/après)</w:t>
      </w:r>
      <w:bookmarkEnd w:id="318"/>
    </w:p>
    <w:p w:rsidR="005A2766" w:rsidRPr="00570D84" w:rsidRDefault="005A2766" w:rsidP="005A2766">
      <w:pPr>
        <w:jc w:val="both"/>
        <w:rPr>
          <w:rFonts w:cs="Arial"/>
          <w:i/>
          <w:szCs w:val="20"/>
        </w:rPr>
      </w:pPr>
    </w:p>
    <w:p w:rsidR="005A2766" w:rsidRPr="00570D84" w:rsidRDefault="005A2766" w:rsidP="005A2766">
      <w:pPr>
        <w:jc w:val="both"/>
        <w:rPr>
          <w:rFonts w:cs="Arial"/>
          <w:i/>
          <w:szCs w:val="20"/>
        </w:rPr>
      </w:pPr>
      <w:r w:rsidRPr="00570D84">
        <w:rPr>
          <w:rFonts w:cs="Arial"/>
          <w:i/>
          <w:szCs w:val="20"/>
        </w:rPr>
        <w:t>L’</w:t>
      </w:r>
      <w:r w:rsidR="007540F9">
        <w:rPr>
          <w:rFonts w:cs="Arial"/>
          <w:i/>
          <w:szCs w:val="20"/>
        </w:rPr>
        <w:t>établissement</w:t>
      </w:r>
      <w:r w:rsidRPr="00570D84">
        <w:rPr>
          <w:rFonts w:cs="Arial"/>
          <w:i/>
          <w:szCs w:val="20"/>
        </w:rPr>
        <w:t xml:space="preserve"> doit :</w:t>
      </w:r>
    </w:p>
    <w:p w:rsidR="005A2766" w:rsidRPr="00570D84" w:rsidRDefault="005A2766" w:rsidP="005A2766">
      <w:pPr>
        <w:numPr>
          <w:ilvl w:val="0"/>
          <w:numId w:val="34"/>
        </w:numPr>
        <w:jc w:val="both"/>
        <w:rPr>
          <w:rFonts w:eastAsia="Arial Unicode MS" w:cs="Arial"/>
          <w:i/>
          <w:szCs w:val="20"/>
        </w:rPr>
      </w:pPr>
      <w:r w:rsidRPr="00570D84">
        <w:rPr>
          <w:rFonts w:cs="Arial"/>
          <w:i/>
          <w:szCs w:val="20"/>
        </w:rPr>
        <w:t xml:space="preserve">rappeler les hypothèses globales d'évolution des charges de T1 (hors réorganisations) </w:t>
      </w:r>
    </w:p>
    <w:p w:rsidR="007540F9" w:rsidRPr="007540F9" w:rsidRDefault="005A2766" w:rsidP="005A2766">
      <w:pPr>
        <w:numPr>
          <w:ilvl w:val="0"/>
          <w:numId w:val="34"/>
        </w:numPr>
        <w:jc w:val="both"/>
        <w:rPr>
          <w:rFonts w:eastAsia="Arial Unicode MS" w:cs="Arial"/>
          <w:i/>
          <w:szCs w:val="20"/>
        </w:rPr>
      </w:pPr>
      <w:r w:rsidRPr="00570D84">
        <w:rPr>
          <w:rFonts w:cs="Arial"/>
          <w:i/>
          <w:szCs w:val="20"/>
        </w:rPr>
        <w:t>préciser le nombre d'ETP, le montant revu de la masse salariale imputable aux réorganisations et son évolution</w:t>
      </w: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P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729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06"/>
        <w:gridCol w:w="540"/>
        <w:gridCol w:w="677"/>
        <w:gridCol w:w="666"/>
        <w:gridCol w:w="546"/>
        <w:gridCol w:w="691"/>
        <w:gridCol w:w="691"/>
        <w:gridCol w:w="546"/>
        <w:gridCol w:w="666"/>
        <w:gridCol w:w="665"/>
      </w:tblGrid>
      <w:tr w:rsidR="00963EBE" w:rsidRPr="00BB2053" w:rsidTr="00963EBE">
        <w:trPr>
          <w:trHeight w:val="272"/>
          <w:jc w:val="center"/>
        </w:trPr>
        <w:tc>
          <w:tcPr>
            <w:tcW w:w="1606" w:type="dxa"/>
            <w:vMerge w:val="restart"/>
            <w:shd w:val="clear" w:color="auto" w:fill="F2F2F2"/>
            <w:vAlign w:val="center"/>
          </w:tcPr>
          <w:p w:rsidR="00963EBE" w:rsidRDefault="00963EBE" w:rsidP="00931F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Pr="00346D19">
              <w:rPr>
                <w:b/>
              </w:rPr>
              <w:t>ecteur</w:t>
            </w:r>
            <w:r>
              <w:rPr>
                <w:b/>
              </w:rPr>
              <w:t>s</w:t>
            </w:r>
            <w:r w:rsidRPr="00346D19">
              <w:rPr>
                <w:b/>
              </w:rPr>
              <w:t xml:space="preserve"> d'activité</w:t>
            </w:r>
            <w:r>
              <w:rPr>
                <w:b/>
              </w:rPr>
              <w:t xml:space="preserve"> impactés par le projet</w:t>
            </w:r>
          </w:p>
        </w:tc>
        <w:tc>
          <w:tcPr>
            <w:tcW w:w="3811" w:type="dxa"/>
            <w:gridSpan w:val="6"/>
            <w:shd w:val="clear" w:color="auto" w:fill="F2F2F2"/>
            <w:vAlign w:val="center"/>
          </w:tcPr>
          <w:p w:rsidR="00963EBE" w:rsidRDefault="00963EBE" w:rsidP="00931F8C">
            <w:pPr>
              <w:jc w:val="center"/>
              <w:rPr>
                <w:b/>
              </w:rPr>
            </w:pPr>
            <w:r>
              <w:rPr>
                <w:b/>
              </w:rPr>
              <w:t>Personnel</w:t>
            </w:r>
          </w:p>
          <w:p w:rsidR="00963EBE" w:rsidRDefault="00963EBE" w:rsidP="00931F8C">
            <w:pPr>
              <w:jc w:val="center"/>
              <w:rPr>
                <w:b/>
              </w:rPr>
            </w:pPr>
            <w:r>
              <w:rPr>
                <w:b/>
              </w:rPr>
              <w:t>Nombre d’ETP rémunérés</w:t>
            </w:r>
          </w:p>
        </w:tc>
        <w:tc>
          <w:tcPr>
            <w:tcW w:w="1877" w:type="dxa"/>
            <w:gridSpan w:val="3"/>
            <w:shd w:val="clear" w:color="auto" w:fill="F2F2F2"/>
            <w:vAlign w:val="center"/>
          </w:tcPr>
          <w:p w:rsidR="00963EBE" w:rsidRDefault="00963EBE" w:rsidP="00931F8C">
            <w:pPr>
              <w:jc w:val="center"/>
              <w:rPr>
                <w:b/>
              </w:rPr>
            </w:pPr>
            <w:r>
              <w:rPr>
                <w:b/>
              </w:rPr>
              <w:t>Ecart avant/après</w:t>
            </w: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vMerge/>
            <w:shd w:val="clear" w:color="auto" w:fill="FFFFFF"/>
          </w:tcPr>
          <w:p w:rsidR="00963EBE" w:rsidRPr="00BB2053" w:rsidRDefault="00963EBE" w:rsidP="00931F8C">
            <w:pPr>
              <w:jc w:val="center"/>
              <w:rPr>
                <w:b/>
              </w:rPr>
            </w:pPr>
          </w:p>
        </w:tc>
        <w:tc>
          <w:tcPr>
            <w:tcW w:w="1883" w:type="dxa"/>
            <w:gridSpan w:val="3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Avant projet</w:t>
            </w:r>
          </w:p>
        </w:tc>
        <w:tc>
          <w:tcPr>
            <w:tcW w:w="1928" w:type="dxa"/>
            <w:gridSpan w:val="3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Après mise en service</w:t>
            </w:r>
          </w:p>
        </w:tc>
        <w:tc>
          <w:tcPr>
            <w:tcW w:w="546" w:type="dxa"/>
            <w:vMerge w:val="restart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PM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PNM</w:t>
            </w:r>
          </w:p>
        </w:tc>
        <w:tc>
          <w:tcPr>
            <w:tcW w:w="665" w:type="dxa"/>
            <w:vMerge w:val="restart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Total</w:t>
            </w: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vMerge/>
            <w:shd w:val="clear" w:color="auto" w:fill="FFFFFF"/>
          </w:tcPr>
          <w:p w:rsidR="00963EBE" w:rsidRPr="00AC4D67" w:rsidRDefault="00963EBE" w:rsidP="00931F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FFFFFF"/>
          </w:tcPr>
          <w:p w:rsidR="00963EBE" w:rsidRPr="00BB2053" w:rsidRDefault="00963EBE" w:rsidP="00931F8C">
            <w:r>
              <w:t>PM</w:t>
            </w:r>
          </w:p>
        </w:tc>
        <w:tc>
          <w:tcPr>
            <w:tcW w:w="677" w:type="dxa"/>
            <w:shd w:val="clear" w:color="auto" w:fill="FFFFFF"/>
          </w:tcPr>
          <w:p w:rsidR="00963EBE" w:rsidRPr="00BB2053" w:rsidRDefault="00963EBE" w:rsidP="00931F8C">
            <w:r>
              <w:t>PNM</w:t>
            </w:r>
          </w:p>
        </w:tc>
        <w:tc>
          <w:tcPr>
            <w:tcW w:w="666" w:type="dxa"/>
            <w:shd w:val="clear" w:color="auto" w:fill="FFFFFF"/>
          </w:tcPr>
          <w:p w:rsidR="00963EBE" w:rsidRDefault="00963EBE" w:rsidP="00931F8C">
            <w:r>
              <w:t>Total</w:t>
            </w:r>
          </w:p>
        </w:tc>
        <w:tc>
          <w:tcPr>
            <w:tcW w:w="546" w:type="dxa"/>
            <w:shd w:val="clear" w:color="auto" w:fill="FFFFFF"/>
          </w:tcPr>
          <w:p w:rsidR="00963EBE" w:rsidRPr="00BB2053" w:rsidRDefault="00963EBE" w:rsidP="00931F8C">
            <w:r>
              <w:t>PM</w:t>
            </w:r>
          </w:p>
        </w:tc>
        <w:tc>
          <w:tcPr>
            <w:tcW w:w="691" w:type="dxa"/>
            <w:shd w:val="clear" w:color="auto" w:fill="FFFFFF"/>
          </w:tcPr>
          <w:p w:rsidR="00963EBE" w:rsidRPr="00BB2053" w:rsidRDefault="00963EBE" w:rsidP="00931F8C">
            <w:r>
              <w:t>PNM</w:t>
            </w:r>
          </w:p>
        </w:tc>
        <w:tc>
          <w:tcPr>
            <w:tcW w:w="691" w:type="dxa"/>
            <w:shd w:val="clear" w:color="auto" w:fill="FFFFFF"/>
          </w:tcPr>
          <w:p w:rsidR="00963EBE" w:rsidRDefault="00963EBE" w:rsidP="00931F8C">
            <w:r>
              <w:t>Total</w:t>
            </w:r>
          </w:p>
        </w:tc>
        <w:tc>
          <w:tcPr>
            <w:tcW w:w="546" w:type="dxa"/>
            <w:vMerge/>
            <w:shd w:val="clear" w:color="auto" w:fill="FFFFFF"/>
          </w:tcPr>
          <w:p w:rsidR="00963EBE" w:rsidRDefault="00963EBE" w:rsidP="00931F8C"/>
        </w:tc>
        <w:tc>
          <w:tcPr>
            <w:tcW w:w="666" w:type="dxa"/>
            <w:vMerge/>
            <w:shd w:val="clear" w:color="auto" w:fill="FFFFFF"/>
          </w:tcPr>
          <w:p w:rsidR="00963EBE" w:rsidRDefault="00963EBE" w:rsidP="00931F8C"/>
        </w:tc>
        <w:tc>
          <w:tcPr>
            <w:tcW w:w="665" w:type="dxa"/>
            <w:vMerge/>
            <w:shd w:val="clear" w:color="auto" w:fill="FFFFFF"/>
          </w:tcPr>
          <w:p w:rsidR="00963EBE" w:rsidRDefault="00963EBE" w:rsidP="00931F8C"/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M</w:t>
            </w:r>
            <w:r>
              <w:rPr>
                <w:rFonts w:cs="Arial"/>
                <w:color w:val="000000"/>
                <w:szCs w:val="20"/>
                <w:lang w:eastAsia="fr-FR"/>
              </w:rPr>
              <w:t>édecine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C</w:t>
            </w:r>
            <w:r>
              <w:rPr>
                <w:rFonts w:cs="Arial"/>
                <w:color w:val="000000"/>
                <w:szCs w:val="20"/>
                <w:lang w:eastAsia="fr-FR"/>
              </w:rPr>
              <w:t>hirurgie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G</w:t>
            </w:r>
            <w:r>
              <w:rPr>
                <w:rFonts w:cs="Arial"/>
                <w:color w:val="000000"/>
                <w:szCs w:val="20"/>
                <w:lang w:eastAsia="fr-FR"/>
              </w:rPr>
              <w:t>ynéco-obstétrique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SSR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B</w:t>
            </w:r>
            <w:r>
              <w:rPr>
                <w:rFonts w:cs="Arial"/>
                <w:color w:val="000000"/>
                <w:szCs w:val="20"/>
                <w:lang w:eastAsia="fr-FR"/>
              </w:rPr>
              <w:t>locs opératoires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proofErr w:type="spellStart"/>
            <w:r w:rsidRPr="00726044">
              <w:rPr>
                <w:rFonts w:cs="Arial"/>
                <w:color w:val="000000"/>
                <w:szCs w:val="20"/>
                <w:lang w:eastAsia="fr-FR"/>
              </w:rPr>
              <w:t>M</w:t>
            </w:r>
            <w:r>
              <w:rPr>
                <w:rFonts w:cs="Arial"/>
                <w:color w:val="000000"/>
                <w:szCs w:val="20"/>
                <w:lang w:eastAsia="fr-FR"/>
              </w:rPr>
              <w:t>édico-technique</w:t>
            </w:r>
            <w:proofErr w:type="spellEnd"/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U</w:t>
            </w:r>
            <w:r>
              <w:rPr>
                <w:rFonts w:cs="Arial"/>
                <w:color w:val="000000"/>
                <w:szCs w:val="20"/>
                <w:lang w:eastAsia="fr-FR"/>
              </w:rPr>
              <w:t>rgences SMUR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i/>
                <w:color w:val="000000"/>
                <w:szCs w:val="20"/>
              </w:rPr>
            </w:pPr>
            <w:r w:rsidRPr="00726044">
              <w:rPr>
                <w:rFonts w:cs="Arial"/>
                <w:i/>
                <w:color w:val="000000"/>
                <w:szCs w:val="20"/>
                <w:lang w:eastAsia="fr-FR"/>
              </w:rPr>
              <w:t>Autres  (Administration, logistique…)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26044">
              <w:rPr>
                <w:rFonts w:cs="Arial"/>
                <w:b/>
                <w:bCs/>
                <w:color w:val="000000"/>
                <w:szCs w:val="20"/>
              </w:rPr>
              <w:t>TOTAL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</w:tbl>
    <w:p w:rsidR="007540F9" w:rsidRDefault="007540F9" w:rsidP="007540F9">
      <w:pPr>
        <w:rPr>
          <w:rFonts w:eastAsia="Arial Unicode MS" w:cs="Arial"/>
          <w:szCs w:val="20"/>
        </w:rPr>
      </w:pPr>
      <w:r w:rsidRPr="00D44A75">
        <w:rPr>
          <w:i/>
        </w:rPr>
        <w:t>* Cette liste doit être complétée / ajustée en foncti</w:t>
      </w:r>
      <w:r>
        <w:rPr>
          <w:i/>
        </w:rPr>
        <w:t>on des types d’activité impactée</w:t>
      </w:r>
      <w:r w:rsidRPr="00D44A75">
        <w:rPr>
          <w:i/>
        </w:rPr>
        <w:t>s par le projet</w:t>
      </w:r>
    </w:p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7D5491" w:rsidRDefault="0031054F" w:rsidP="0031054F">
      <w:pPr>
        <w:pStyle w:val="Titre3"/>
        <w:rPr>
          <w:rFonts w:eastAsia="Calibri"/>
        </w:rPr>
      </w:pPr>
      <w:bookmarkStart w:id="319" w:name="_Toc381191586"/>
      <w:r w:rsidRPr="007D5491">
        <w:rPr>
          <w:rFonts w:eastAsia="Calibri"/>
        </w:rPr>
        <w:t>Charges de titre 2 et 3 (avant/après)</w:t>
      </w:r>
      <w:bookmarkEnd w:id="319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cs="Arial"/>
          <w:i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Times New Roman" w:hAnsi="Arial"/>
          <w:i/>
          <w:kern w:val="0"/>
          <w:sz w:val="20"/>
          <w:szCs w:val="22"/>
          <w:lang w:eastAsia="en-US"/>
        </w:rPr>
      </w:pPr>
      <w:r w:rsidRPr="009534AC">
        <w:rPr>
          <w:rFonts w:ascii="Arial" w:eastAsia="Times New Roman" w:hAnsi="Arial"/>
          <w:i/>
          <w:kern w:val="0"/>
          <w:sz w:val="20"/>
          <w:szCs w:val="22"/>
          <w:lang w:eastAsia="en-US"/>
        </w:rPr>
        <w:t>Le compte de résultat prévisionnel devra intégrer tous les impacts en charge d’exploitation résultant des évolutions d’activité liées au projet. Par charge d’exploitation, il faut comprendre a</w:t>
      </w:r>
      <w:r>
        <w:rPr>
          <w:rFonts w:ascii="Arial" w:eastAsia="Times New Roman" w:hAnsi="Arial"/>
          <w:i/>
          <w:kern w:val="0"/>
          <w:sz w:val="20"/>
          <w:szCs w:val="22"/>
          <w:lang w:eastAsia="en-US"/>
        </w:rPr>
        <w:t xml:space="preserve">ussi bien les charges médicales, que </w:t>
      </w:r>
      <w:proofErr w:type="spellStart"/>
      <w:r w:rsidRPr="009534AC">
        <w:rPr>
          <w:rFonts w:ascii="Arial" w:eastAsia="Times New Roman" w:hAnsi="Arial"/>
          <w:i/>
          <w:kern w:val="0"/>
          <w:sz w:val="20"/>
          <w:szCs w:val="22"/>
          <w:lang w:eastAsia="en-US"/>
        </w:rPr>
        <w:t>médico-techniques</w:t>
      </w:r>
      <w:proofErr w:type="spellEnd"/>
      <w:r>
        <w:rPr>
          <w:rFonts w:ascii="Arial" w:eastAsia="Times New Roman" w:hAnsi="Arial"/>
          <w:i/>
          <w:kern w:val="0"/>
          <w:sz w:val="20"/>
          <w:szCs w:val="22"/>
          <w:lang w:eastAsia="en-US"/>
        </w:rPr>
        <w:t>, immobilières</w:t>
      </w:r>
      <w:r w:rsidRPr="009534AC">
        <w:rPr>
          <w:rFonts w:ascii="Arial" w:eastAsia="Times New Roman" w:hAnsi="Arial"/>
          <w:i/>
          <w:kern w:val="0"/>
          <w:sz w:val="20"/>
          <w:szCs w:val="22"/>
          <w:lang w:eastAsia="en-US"/>
        </w:rPr>
        <w:t xml:space="preserve"> et logistiques induites</w:t>
      </w:r>
      <w:r w:rsidR="00963EBE">
        <w:rPr>
          <w:rFonts w:ascii="Arial" w:eastAsia="Times New Roman" w:hAnsi="Arial"/>
          <w:i/>
          <w:kern w:val="0"/>
          <w:sz w:val="20"/>
          <w:szCs w:val="22"/>
          <w:lang w:eastAsia="en-US"/>
        </w:rPr>
        <w:t>. L’établissement</w:t>
      </w:r>
      <w:r>
        <w:rPr>
          <w:rFonts w:ascii="Arial" w:eastAsia="Times New Roman" w:hAnsi="Arial"/>
          <w:i/>
          <w:kern w:val="0"/>
          <w:sz w:val="20"/>
          <w:szCs w:val="22"/>
          <w:lang w:eastAsia="en-US"/>
        </w:rPr>
        <w:t xml:space="preserve"> peut intégrer un tableau présentant le détail des évolutions prévues et hypothèses sous-jacentes.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Times New Roman" w:hAnsi="Arial"/>
          <w:i/>
          <w:kern w:val="0"/>
          <w:sz w:val="20"/>
          <w:szCs w:val="22"/>
          <w:lang w:eastAsia="en-US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20" w:name="_Toc381191587"/>
      <w:r w:rsidRPr="007D5491">
        <w:rPr>
          <w:rFonts w:eastAsia="Calibri"/>
        </w:rPr>
        <w:t>Charges de titre 4 (avant/après)</w:t>
      </w:r>
      <w:bookmarkEnd w:id="320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Titre3"/>
        <w:rPr>
          <w:rFonts w:eastAsia="Calibri"/>
        </w:rPr>
      </w:pPr>
      <w:bookmarkStart w:id="321" w:name="_Toc381191588"/>
      <w:r w:rsidRPr="007D5491">
        <w:rPr>
          <w:rFonts w:eastAsia="Calibri"/>
        </w:rPr>
        <w:t>Modalités et prévisions d’amortissements</w:t>
      </w:r>
      <w:bookmarkEnd w:id="321"/>
    </w:p>
    <w:p w:rsidR="0031054F" w:rsidRPr="00ED79CE" w:rsidRDefault="0031054F" w:rsidP="0031054F">
      <w:pPr>
        <w:jc w:val="both"/>
        <w:rPr>
          <w:rFonts w:eastAsia="Calibri"/>
        </w:rPr>
      </w:pP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L’</w:t>
      </w:r>
      <w:r w:rsidR="007540F9">
        <w:rPr>
          <w:rFonts w:ascii="Arial" w:eastAsia="Calibri" w:hAnsi="Arial" w:cs="Arial"/>
          <w:i/>
          <w:sz w:val="20"/>
          <w:szCs w:val="20"/>
        </w:rPr>
        <w:t>établissement</w:t>
      </w:r>
      <w:r>
        <w:rPr>
          <w:rFonts w:ascii="Arial" w:eastAsia="Calibri" w:hAnsi="Arial" w:cs="Arial"/>
          <w:i/>
          <w:sz w:val="20"/>
          <w:szCs w:val="20"/>
        </w:rPr>
        <w:t xml:space="preserve"> doit </w:t>
      </w:r>
      <w:r w:rsidR="007540F9">
        <w:rPr>
          <w:rFonts w:ascii="Arial" w:eastAsia="Calibri" w:hAnsi="Arial" w:cs="Arial"/>
          <w:i/>
          <w:sz w:val="20"/>
          <w:szCs w:val="20"/>
        </w:rPr>
        <w:t>définir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 les modalités </w:t>
      </w:r>
      <w:r>
        <w:rPr>
          <w:rFonts w:ascii="Arial" w:eastAsia="Calibri" w:hAnsi="Arial" w:cs="Arial"/>
          <w:i/>
          <w:sz w:val="20"/>
          <w:szCs w:val="20"/>
        </w:rPr>
        <w:t xml:space="preserve">et durée </w:t>
      </w:r>
      <w:r w:rsidRPr="007D5491">
        <w:rPr>
          <w:rFonts w:ascii="Arial" w:eastAsia="Calibri" w:hAnsi="Arial" w:cs="Arial"/>
          <w:i/>
          <w:sz w:val="20"/>
          <w:szCs w:val="20"/>
        </w:rPr>
        <w:t>d’amortissement choisies ainsi que l’amortissement prévisionnel</w:t>
      </w:r>
      <w:r>
        <w:rPr>
          <w:rFonts w:ascii="Arial" w:eastAsia="Calibri" w:hAnsi="Arial" w:cs="Arial"/>
          <w:i/>
          <w:sz w:val="20"/>
          <w:szCs w:val="20"/>
        </w:rPr>
        <w:t>.</w:t>
      </w:r>
      <w:r w:rsidRPr="00B17002">
        <w:rPr>
          <w:rFonts w:ascii="Arial" w:eastAsia="Calibri" w:hAnsi="Arial" w:cs="Arial"/>
          <w:i/>
          <w:sz w:val="20"/>
          <w:szCs w:val="20"/>
        </w:rPr>
        <w:t xml:space="preserve"> Les hypothèses d’amortissement et de taux d’intérêts sont à préciser.</w:t>
      </w:r>
    </w:p>
    <w:p w:rsidR="0031054F" w:rsidRPr="007D5491" w:rsidRDefault="0031054F" w:rsidP="0031054F">
      <w:pPr>
        <w:pStyle w:val="Titre3"/>
        <w:rPr>
          <w:rFonts w:eastAsia="Calibri"/>
        </w:rPr>
      </w:pPr>
      <w:bookmarkStart w:id="322" w:name="_Toc381191589"/>
      <w:r w:rsidRPr="007D5491">
        <w:rPr>
          <w:rFonts w:eastAsia="Calibri"/>
        </w:rPr>
        <w:t>Recettes du titre 1 (impact activité avant/après).</w:t>
      </w:r>
      <w:bookmarkEnd w:id="322"/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23" w:name="_Toc381191590"/>
      <w:r w:rsidRPr="007D5491">
        <w:rPr>
          <w:rFonts w:eastAsia="Calibri"/>
        </w:rPr>
        <w:t>Recettes du titre 2 (notamment recettes propres régimes particuliers) ou partage d’activités</w:t>
      </w:r>
      <w:bookmarkEnd w:id="323"/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324" w:name="_Toc381191591"/>
      <w:r w:rsidRPr="007D5491">
        <w:rPr>
          <w:rFonts w:eastAsia="Calibri"/>
        </w:rPr>
        <w:t xml:space="preserve">Recettes du titre </w:t>
      </w:r>
      <w:r>
        <w:rPr>
          <w:rFonts w:eastAsia="Calibri"/>
        </w:rPr>
        <w:t>3</w:t>
      </w:r>
      <w:bookmarkEnd w:id="324"/>
      <w:r w:rsidRPr="007D5491">
        <w:rPr>
          <w:rFonts w:eastAsia="Calibri"/>
        </w:rPr>
        <w:t xml:space="preserve"> </w:t>
      </w:r>
    </w:p>
    <w:p w:rsidR="007540F9" w:rsidRDefault="007540F9" w:rsidP="007540F9">
      <w:pPr>
        <w:rPr>
          <w:rFonts w:eastAsia="Calibri"/>
        </w:rPr>
      </w:pPr>
    </w:p>
    <w:p w:rsidR="0031054F" w:rsidRPr="007540F9" w:rsidRDefault="003750C0" w:rsidP="0031054F">
      <w:pPr>
        <w:pStyle w:val="Titre2"/>
        <w:rPr>
          <w:color w:val="auto"/>
        </w:rPr>
      </w:pPr>
      <w:bookmarkStart w:id="325" w:name="_Toc381191592"/>
      <w:r>
        <w:rPr>
          <w:color w:val="auto"/>
        </w:rPr>
        <w:t>P</w:t>
      </w:r>
      <w:r w:rsidR="0031054F" w:rsidRPr="007540F9">
        <w:rPr>
          <w:color w:val="auto"/>
        </w:rPr>
        <w:t>résentation du programme d’investissement</w:t>
      </w:r>
      <w:bookmarkEnd w:id="325"/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326" w:name="_Toc381191593"/>
      <w:r w:rsidRPr="007D5491">
        <w:rPr>
          <w:rFonts w:eastAsia="Calibri"/>
        </w:rPr>
        <w:t>Autres opérations significatives prévues dans le PPI</w:t>
      </w:r>
      <w:bookmarkEnd w:id="326"/>
    </w:p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Pr="00BD4204" w:rsidRDefault="0031054F" w:rsidP="0031054F">
      <w:pPr>
        <w:jc w:val="both"/>
        <w:rPr>
          <w:rFonts w:eastAsia="Calibri"/>
        </w:rPr>
      </w:pPr>
      <w:r w:rsidRPr="009534AC">
        <w:rPr>
          <w:rFonts w:eastAsia="Arial Unicode MS" w:cs="Arial"/>
          <w:i/>
          <w:szCs w:val="20"/>
        </w:rPr>
        <w:t>Expliciter</w:t>
      </w:r>
      <w:r w:rsidR="007540F9">
        <w:rPr>
          <w:rFonts w:eastAsia="Arial Unicode MS" w:cs="Arial"/>
          <w:i/>
          <w:szCs w:val="20"/>
        </w:rPr>
        <w:t>,</w:t>
      </w:r>
      <w:r w:rsidRPr="009534AC">
        <w:rPr>
          <w:rFonts w:eastAsia="Arial Unicode MS" w:cs="Arial"/>
          <w:i/>
          <w:szCs w:val="20"/>
        </w:rPr>
        <w:t xml:space="preserve"> si elles existent</w:t>
      </w:r>
      <w:r w:rsidR="007540F9">
        <w:rPr>
          <w:rFonts w:eastAsia="Arial Unicode MS" w:cs="Arial"/>
          <w:i/>
          <w:szCs w:val="20"/>
        </w:rPr>
        <w:t>,</w:t>
      </w:r>
      <w:r w:rsidRPr="009534AC">
        <w:rPr>
          <w:rFonts w:eastAsia="Arial Unicode MS" w:cs="Arial"/>
          <w:i/>
          <w:szCs w:val="20"/>
        </w:rPr>
        <w:t xml:space="preserve"> les articulations du projet avec les autres opérations d’investissement de l’établissement</w:t>
      </w:r>
      <w:r>
        <w:rPr>
          <w:rFonts w:eastAsia="Arial Unicode MS" w:cs="Arial"/>
          <w:i/>
          <w:szCs w:val="20"/>
        </w:rPr>
        <w:t>. A</w:t>
      </w:r>
      <w:r w:rsidRPr="00B17002">
        <w:rPr>
          <w:rFonts w:eastAsia="Arial Unicode MS" w:cs="Arial"/>
          <w:i/>
          <w:szCs w:val="20"/>
        </w:rPr>
        <w:t xml:space="preserve">nalyser de manière rétrospective les investissements réalisés sur les années </w:t>
      </w:r>
      <w:r w:rsidRPr="00BD4204">
        <w:rPr>
          <w:rFonts w:eastAsia="Arial Unicode MS" w:cs="Arial"/>
          <w:i/>
          <w:szCs w:val="20"/>
        </w:rPr>
        <w:t>passées.</w:t>
      </w:r>
    </w:p>
    <w:p w:rsidR="0031054F" w:rsidRDefault="0031054F" w:rsidP="0031054F">
      <w:pPr>
        <w:jc w:val="both"/>
        <w:rPr>
          <w:rFonts w:eastAsia="Calibri"/>
        </w:rPr>
      </w:pPr>
    </w:p>
    <w:p w:rsidR="003750C0" w:rsidRDefault="003750C0" w:rsidP="0031054F">
      <w:pPr>
        <w:jc w:val="both"/>
        <w:rPr>
          <w:rFonts w:eastAsia="Calibri"/>
        </w:rPr>
      </w:pPr>
    </w:p>
    <w:p w:rsidR="003750C0" w:rsidRDefault="003750C0" w:rsidP="0031054F">
      <w:pPr>
        <w:jc w:val="both"/>
        <w:rPr>
          <w:rFonts w:eastAsia="Calibri"/>
        </w:rPr>
      </w:pPr>
    </w:p>
    <w:p w:rsidR="003750C0" w:rsidRPr="00BD4204" w:rsidRDefault="003750C0" w:rsidP="0031054F">
      <w:pPr>
        <w:jc w:val="both"/>
        <w:rPr>
          <w:rFonts w:eastAsia="Calibri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27" w:name="_Toc381191594"/>
      <w:r w:rsidRPr="007D5491">
        <w:rPr>
          <w:rFonts w:eastAsia="Calibri"/>
        </w:rPr>
        <w:lastRenderedPageBreak/>
        <w:t>Opérations courantes ventilées par grands postes (GER, équipements courants, SI)</w:t>
      </w:r>
      <w:bookmarkEnd w:id="327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BD4204" w:rsidRDefault="0031054F" w:rsidP="0031054F">
      <w:pPr>
        <w:jc w:val="both"/>
        <w:rPr>
          <w:rFonts w:eastAsia="Calibri"/>
        </w:rPr>
      </w:pPr>
      <w:r w:rsidRPr="004E4106">
        <w:rPr>
          <w:rFonts w:cs="Arial"/>
          <w:i/>
          <w:szCs w:val="20"/>
        </w:rPr>
        <w:t xml:space="preserve">Expliciter </w:t>
      </w:r>
      <w:r>
        <w:rPr>
          <w:rFonts w:cs="Arial"/>
          <w:i/>
          <w:szCs w:val="20"/>
        </w:rPr>
        <w:t xml:space="preserve">la part des opérations courantes dans le programme d’investissement et dans le budget de l’établissement. </w:t>
      </w:r>
      <w:r>
        <w:rPr>
          <w:rFonts w:eastAsia="Arial Unicode MS" w:cs="Arial"/>
          <w:i/>
          <w:szCs w:val="20"/>
        </w:rPr>
        <w:t>A</w:t>
      </w:r>
      <w:r w:rsidRPr="00B17002">
        <w:rPr>
          <w:rFonts w:eastAsia="Arial Unicode MS" w:cs="Arial"/>
          <w:i/>
          <w:szCs w:val="20"/>
        </w:rPr>
        <w:t xml:space="preserve">nalyser de manière rétrospective les investissements réalisés sur les années </w:t>
      </w:r>
      <w:r w:rsidRPr="00BD4204">
        <w:rPr>
          <w:rFonts w:eastAsia="Arial Unicode MS" w:cs="Arial"/>
          <w:i/>
          <w:szCs w:val="20"/>
        </w:rPr>
        <w:t>passées.</w:t>
      </w:r>
    </w:p>
    <w:p w:rsidR="0031054F" w:rsidRPr="00C455D0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Titre2"/>
        <w:rPr>
          <w:color w:val="auto"/>
        </w:rPr>
      </w:pPr>
      <w:bookmarkStart w:id="328" w:name="_Toc381191595"/>
      <w:r w:rsidRPr="007540F9">
        <w:rPr>
          <w:color w:val="auto"/>
        </w:rPr>
        <w:t>Plan de financement</w:t>
      </w:r>
      <w:bookmarkEnd w:id="328"/>
    </w:p>
    <w:p w:rsidR="007540F9" w:rsidRDefault="007540F9" w:rsidP="007540F9"/>
    <w:tbl>
      <w:tblPr>
        <w:tblW w:w="88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346"/>
        <w:gridCol w:w="3472"/>
      </w:tblGrid>
      <w:tr w:rsidR="007540F9" w:rsidRPr="00122500" w:rsidTr="00931F8C">
        <w:trPr>
          <w:trHeight w:val="291"/>
        </w:trPr>
        <w:tc>
          <w:tcPr>
            <w:tcW w:w="8818" w:type="dxa"/>
            <w:gridSpan w:val="2"/>
            <w:shd w:val="clear" w:color="auto" w:fill="D9D9D9"/>
            <w:vAlign w:val="center"/>
          </w:tcPr>
          <w:p w:rsidR="007540F9" w:rsidRPr="00122500" w:rsidRDefault="007540F9" w:rsidP="00931F8C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 xml:space="preserve">Plan de financement sur la base du coût </w:t>
            </w:r>
            <w:r>
              <w:rPr>
                <w:rFonts w:cs="Arial"/>
                <w:b/>
                <w:szCs w:val="20"/>
              </w:rPr>
              <w:t xml:space="preserve">TTC TDC </w:t>
            </w:r>
            <w:r w:rsidRPr="00122500">
              <w:rPr>
                <w:rFonts w:cs="Arial"/>
                <w:b/>
                <w:szCs w:val="20"/>
              </w:rPr>
              <w:t>du projet immobilier</w:t>
            </w:r>
            <w:r>
              <w:rPr>
                <w:rFonts w:cs="Arial"/>
                <w:b/>
                <w:szCs w:val="20"/>
              </w:rPr>
              <w:t xml:space="preserve"> (valeur fin de chantier)</w:t>
            </w: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2F2F2"/>
            <w:vAlign w:val="center"/>
          </w:tcPr>
          <w:p w:rsidR="007540F9" w:rsidRPr="00122500" w:rsidRDefault="007540F9" w:rsidP="00931F8C">
            <w:pPr>
              <w:jc w:val="center"/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Plan de financement</w:t>
            </w:r>
          </w:p>
        </w:tc>
        <w:tc>
          <w:tcPr>
            <w:tcW w:w="3472" w:type="dxa"/>
            <w:shd w:val="clear" w:color="auto" w:fill="F2F2F2"/>
            <w:vAlign w:val="center"/>
          </w:tcPr>
          <w:p w:rsidR="007540F9" w:rsidRPr="00122500" w:rsidRDefault="007540F9" w:rsidP="00931F8C">
            <w:pPr>
              <w:jc w:val="center"/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Montant en K€</w:t>
            </w: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b/>
                <w:bCs/>
                <w:szCs w:val="20"/>
              </w:rPr>
            </w:pPr>
            <w:r w:rsidRPr="00122500">
              <w:rPr>
                <w:rFonts w:cs="Arial"/>
                <w:b/>
                <w:bCs/>
                <w:szCs w:val="20"/>
              </w:rPr>
              <w:t>Autofinancement (A)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Dont cession éventuelle d’immobilisations (DNA et cessions liées au projet, par ex</w:t>
            </w:r>
            <w:r>
              <w:rPr>
                <w:rFonts w:cs="Arial"/>
                <w:szCs w:val="20"/>
              </w:rPr>
              <w:t>emple</w:t>
            </w:r>
            <w:r w:rsidRPr="00122500">
              <w:rPr>
                <w:rFonts w:cs="Arial"/>
                <w:szCs w:val="20"/>
              </w:rPr>
              <w:t xml:space="preserve"> :   libération de site)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Emprunts (B)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Dont emprunt non aidé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Dont emprunt non aidé à taux préférentiel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Subventions (C.)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3750C0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 xml:space="preserve">Hypothèse : Subventions </w:t>
            </w:r>
            <w:r>
              <w:rPr>
                <w:rFonts w:cs="Arial"/>
                <w:szCs w:val="20"/>
              </w:rPr>
              <w:t xml:space="preserve">aide en capital </w:t>
            </w:r>
            <w:r w:rsidR="003750C0">
              <w:rPr>
                <w:rFonts w:cs="Arial"/>
                <w:szCs w:val="20"/>
              </w:rPr>
              <w:t>FIR</w:t>
            </w:r>
            <w:r>
              <w:rPr>
                <w:rFonts w:cs="Arial"/>
                <w:szCs w:val="20"/>
              </w:rPr>
              <w:t xml:space="preserve"> (niveau </w:t>
            </w:r>
            <w:r w:rsidR="003750C0">
              <w:rPr>
                <w:rFonts w:cs="Arial"/>
                <w:szCs w:val="20"/>
              </w:rPr>
              <w:t>Régional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Subventions</w:t>
            </w:r>
            <w:r>
              <w:rPr>
                <w:rFonts w:cs="Arial"/>
                <w:szCs w:val="20"/>
              </w:rPr>
              <w:t xml:space="preserve"> du conseil régional / général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Subventions</w:t>
            </w:r>
            <w:r>
              <w:rPr>
                <w:rFonts w:cs="Arial"/>
                <w:szCs w:val="20"/>
              </w:rPr>
              <w:t xml:space="preserve"> des collectivités territoriales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Subventions autres (à préciser)*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Total (=A+B+C)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*</w:t>
            </w:r>
            <w:r w:rsidRPr="00427CAE">
              <w:rPr>
                <w:rFonts w:cs="Arial"/>
                <w:i/>
                <w:szCs w:val="20"/>
              </w:rPr>
              <w:t>Précisions sur les autres aides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</w:tbl>
    <w:p w:rsidR="007540F9" w:rsidRPr="007540F9" w:rsidRDefault="007540F9" w:rsidP="007540F9"/>
    <w:p w:rsidR="0031054F" w:rsidRPr="008D191C" w:rsidRDefault="0031054F" w:rsidP="0031054F">
      <w:pPr>
        <w:pStyle w:val="Titre2"/>
        <w:jc w:val="both"/>
        <w:rPr>
          <w:color w:val="auto"/>
        </w:rPr>
      </w:pPr>
      <w:bookmarkStart w:id="329" w:name="_Toc381191596"/>
      <w:r w:rsidRPr="008D191C">
        <w:rPr>
          <w:color w:val="auto"/>
        </w:rPr>
        <w:t>Analyse du plan de financement</w:t>
      </w:r>
      <w:bookmarkEnd w:id="329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EC161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Le PGFP doit couvrir la période allant jusqu’à 3 ans après la mise en service. </w:t>
      </w: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30" w:name="_Toc381191597"/>
      <w:r w:rsidRPr="007D5491">
        <w:rPr>
          <w:rFonts w:eastAsia="Calibri"/>
        </w:rPr>
        <w:t>Mobilisation de l’autofinancement</w:t>
      </w:r>
      <w:bookmarkEnd w:id="330"/>
    </w:p>
    <w:p w:rsidR="0031054F" w:rsidRPr="001455A9" w:rsidRDefault="0031054F" w:rsidP="0031054F">
      <w:pPr>
        <w:pStyle w:val="Titre4"/>
        <w:jc w:val="both"/>
        <w:rPr>
          <w:rFonts w:ascii="Arial" w:eastAsia="Calibri" w:hAnsi="Arial" w:cs="Arial"/>
          <w:i w:val="0"/>
        </w:rPr>
      </w:pPr>
      <w:r w:rsidRPr="001455A9">
        <w:rPr>
          <w:rFonts w:ascii="Arial" w:eastAsia="Calibri" w:hAnsi="Arial" w:cs="Arial"/>
          <w:i w:val="0"/>
        </w:rPr>
        <w:t>Mobilisation de la CAF</w:t>
      </w:r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1455A9" w:rsidRDefault="0031054F" w:rsidP="0031054F">
      <w:pPr>
        <w:pStyle w:val="Titre4"/>
        <w:jc w:val="both"/>
        <w:rPr>
          <w:rFonts w:ascii="Arial" w:eastAsia="Calibri" w:hAnsi="Arial" w:cs="Arial"/>
          <w:i w:val="0"/>
          <w:szCs w:val="20"/>
        </w:rPr>
      </w:pPr>
      <w:r w:rsidRPr="001455A9">
        <w:rPr>
          <w:rFonts w:ascii="Arial" w:eastAsia="Calibri" w:hAnsi="Arial" w:cs="Arial"/>
          <w:i w:val="0"/>
          <w:szCs w:val="20"/>
        </w:rPr>
        <w:t>Mobilisation du fonds de roulement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1455A9" w:rsidRDefault="0031054F" w:rsidP="0031054F">
      <w:pPr>
        <w:pStyle w:val="Titre4"/>
        <w:jc w:val="both"/>
        <w:rPr>
          <w:rFonts w:ascii="Arial" w:eastAsia="Calibri" w:hAnsi="Arial" w:cs="Arial"/>
          <w:i w:val="0"/>
        </w:rPr>
      </w:pPr>
      <w:r w:rsidRPr="001455A9">
        <w:rPr>
          <w:rFonts w:ascii="Arial" w:eastAsia="Calibri" w:hAnsi="Arial" w:cs="Arial"/>
          <w:i w:val="0"/>
        </w:rPr>
        <w:t>Optimisation du besoin en fonds de roulement</w:t>
      </w:r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0A6AA3" w:rsidRDefault="0031054F" w:rsidP="0031054F">
      <w:pPr>
        <w:pStyle w:val="Paragraphedeliste"/>
        <w:ind w:left="0"/>
        <w:rPr>
          <w:rFonts w:cs="Arial"/>
          <w:i/>
          <w:szCs w:val="20"/>
        </w:rPr>
      </w:pPr>
      <w:r w:rsidRPr="000A6AA3">
        <w:rPr>
          <w:rFonts w:cs="Arial"/>
          <w:i/>
          <w:szCs w:val="20"/>
        </w:rPr>
        <w:t>L’</w:t>
      </w:r>
      <w:r w:rsidR="008D191C">
        <w:rPr>
          <w:rFonts w:cs="Arial"/>
          <w:i/>
          <w:szCs w:val="20"/>
        </w:rPr>
        <w:t>établissement</w:t>
      </w:r>
      <w:r>
        <w:rPr>
          <w:rFonts w:cs="Arial"/>
          <w:i/>
          <w:szCs w:val="20"/>
        </w:rPr>
        <w:t xml:space="preserve"> indiquera quelles sont les hypothèses retenues sur l’évolution</w:t>
      </w:r>
      <w:r w:rsidRPr="000A6AA3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du besoin en fonds de roulement et dans quelle mesure l’optimisation de celui-ci participe aux équilibres bilanciels.</w:t>
      </w:r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7D5491" w:rsidRDefault="0031054F" w:rsidP="0031054F">
      <w:pPr>
        <w:pStyle w:val="Titre3"/>
      </w:pPr>
      <w:bookmarkStart w:id="331" w:name="_Toc377133800"/>
      <w:bookmarkStart w:id="332" w:name="_Toc381191598"/>
      <w:bookmarkEnd w:id="331"/>
      <w:r w:rsidRPr="007D5491">
        <w:rPr>
          <w:rFonts w:eastAsia="Calibri"/>
        </w:rPr>
        <w:t>Valorisation du patrimoine</w:t>
      </w:r>
      <w:bookmarkEnd w:id="332"/>
    </w:p>
    <w:p w:rsidR="0031054F" w:rsidRDefault="0031054F" w:rsidP="0031054F">
      <w:pPr>
        <w:rPr>
          <w:rFonts w:eastAsia="Arial Unicode MS" w:cs="Arial"/>
          <w:i/>
          <w:szCs w:val="20"/>
        </w:rPr>
      </w:pPr>
    </w:p>
    <w:p w:rsidR="0031054F" w:rsidRPr="00637F35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</w:t>
      </w:r>
      <w:r w:rsidR="008D191C">
        <w:rPr>
          <w:rFonts w:eastAsia="Arial Unicode MS" w:cs="Arial"/>
          <w:i/>
          <w:szCs w:val="20"/>
        </w:rPr>
        <w:t>établissement</w:t>
      </w:r>
      <w:r>
        <w:rPr>
          <w:rFonts w:eastAsia="Arial Unicode MS" w:cs="Arial"/>
          <w:i/>
          <w:szCs w:val="20"/>
        </w:rPr>
        <w:t xml:space="preserve"> précisera </w:t>
      </w:r>
      <w:r w:rsidRPr="00637F35">
        <w:rPr>
          <w:rFonts w:eastAsia="Arial Unicode MS" w:cs="Arial"/>
          <w:i/>
          <w:szCs w:val="20"/>
        </w:rPr>
        <w:t xml:space="preserve">les hypothèses retenues en matière de cession d’actif </w:t>
      </w:r>
      <w:r>
        <w:rPr>
          <w:rFonts w:eastAsia="Arial Unicode MS" w:cs="Arial"/>
          <w:i/>
          <w:szCs w:val="20"/>
        </w:rPr>
        <w:t xml:space="preserve">(source, année </w:t>
      </w:r>
      <w:r w:rsidRPr="00637F35">
        <w:rPr>
          <w:rFonts w:eastAsia="Arial Unicode MS" w:cs="Arial"/>
          <w:i/>
          <w:szCs w:val="20"/>
        </w:rPr>
        <w:t>de la valorisation</w:t>
      </w:r>
      <w:r>
        <w:rPr>
          <w:rFonts w:eastAsia="Arial Unicode MS" w:cs="Arial"/>
          <w:i/>
          <w:szCs w:val="20"/>
        </w:rPr>
        <w:t xml:space="preserve"> et montant retenu) et toute autre valorisation du patrimoine (location, etc.).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333" w:name="_Toc381191599"/>
      <w:r>
        <w:rPr>
          <w:rFonts w:eastAsia="Calibri"/>
        </w:rPr>
        <w:t xml:space="preserve">Etude de la </w:t>
      </w:r>
      <w:proofErr w:type="spellStart"/>
      <w:r>
        <w:rPr>
          <w:rFonts w:eastAsia="Calibri"/>
        </w:rPr>
        <w:t>s</w:t>
      </w:r>
      <w:r w:rsidRPr="007D5491">
        <w:rPr>
          <w:rFonts w:eastAsia="Calibri"/>
        </w:rPr>
        <w:t>outenabilite</w:t>
      </w:r>
      <w:proofErr w:type="spellEnd"/>
      <w:r w:rsidRPr="007D5491">
        <w:rPr>
          <w:rFonts w:eastAsia="Calibri"/>
        </w:rPr>
        <w:t>́ financière par l’évolution de la marge brute non aidée, le niveau de dette et la variation du fonds de roulement</w:t>
      </w:r>
      <w:bookmarkEnd w:id="333"/>
    </w:p>
    <w:p w:rsidR="0031054F" w:rsidRPr="00637F35" w:rsidRDefault="0031054F" w:rsidP="0031054F">
      <w:pPr>
        <w:rPr>
          <w:rFonts w:eastAsia="Calibri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Il est notamment attendu que le PGFP prévoit une marge brute non aidée à un niveau permettant de couvrir à la fois le remboursement de la </w:t>
      </w:r>
      <w:r>
        <w:rPr>
          <w:rFonts w:ascii="Arial" w:eastAsia="Calibri" w:hAnsi="Arial" w:cs="Arial"/>
          <w:i/>
          <w:sz w:val="20"/>
          <w:szCs w:val="20"/>
        </w:rPr>
        <w:t xml:space="preserve">charge de la </w:t>
      </w:r>
      <w:r w:rsidRPr="007D5491">
        <w:rPr>
          <w:rFonts w:ascii="Arial" w:eastAsia="Calibri" w:hAnsi="Arial" w:cs="Arial"/>
          <w:i/>
          <w:sz w:val="20"/>
          <w:szCs w:val="20"/>
        </w:rPr>
        <w:t>dette</w:t>
      </w:r>
      <w:r>
        <w:rPr>
          <w:rFonts w:ascii="Arial" w:eastAsia="Calibri" w:hAnsi="Arial" w:cs="Arial"/>
          <w:i/>
          <w:sz w:val="20"/>
          <w:szCs w:val="20"/>
        </w:rPr>
        <w:t xml:space="preserve"> (capital + intérêts)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 et les investissements courants (de l’ordre </w:t>
      </w:r>
      <w:r>
        <w:rPr>
          <w:rFonts w:ascii="Arial" w:eastAsia="Calibri" w:hAnsi="Arial" w:cs="Arial"/>
          <w:i/>
          <w:sz w:val="20"/>
          <w:szCs w:val="20"/>
        </w:rPr>
        <w:t xml:space="preserve">de 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3% des produits), afin de garantir que, même après l’investissement, </w:t>
      </w:r>
      <w:r w:rsidRPr="007D5491">
        <w:rPr>
          <w:rFonts w:ascii="Arial" w:eastAsia="Calibri" w:hAnsi="Arial" w:cs="Arial"/>
          <w:i/>
          <w:sz w:val="20"/>
          <w:szCs w:val="20"/>
        </w:rPr>
        <w:lastRenderedPageBreak/>
        <w:t>l’établissement conserve sa capacité future d’investir sans dépendre des aides financières.</w:t>
      </w:r>
    </w:p>
    <w:p w:rsidR="00BE7DE5" w:rsidRPr="00570D84" w:rsidRDefault="008D191C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L’ARS </w:t>
      </w:r>
      <w:r w:rsidR="00BE7DE5" w:rsidRPr="00570D84">
        <w:rPr>
          <w:rFonts w:ascii="Arial" w:hAnsi="Arial" w:cs="Arial"/>
          <w:i/>
          <w:sz w:val="20"/>
          <w:szCs w:val="20"/>
        </w:rPr>
        <w:t>attend un standard de 8% de marge brute hors aides conformément aux recommandations de l'IGAS.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34" w:name="_Toc381191600"/>
      <w:r w:rsidRPr="007D5491">
        <w:rPr>
          <w:rFonts w:eastAsia="Calibri"/>
        </w:rPr>
        <w:t>Étude d'impact du recours à l’endettement</w:t>
      </w:r>
      <w:bookmarkEnd w:id="334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Il s’agit ici d’analyser l’impact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 du recours à l’emprunt prévu, notamment sur les ratios d’endettem</w:t>
      </w:r>
      <w:r>
        <w:rPr>
          <w:rFonts w:ascii="Arial" w:eastAsia="Calibri" w:hAnsi="Arial" w:cs="Arial"/>
          <w:i/>
          <w:sz w:val="20"/>
          <w:szCs w:val="20"/>
        </w:rPr>
        <w:t>ent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 et sur la capacité de l’établissement à rembourser sa dette. Cette dernière analyse doit s’appuyer sur l’endettement que permet de financer le taux de marge brute non aidée.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7D5491" w:rsidRDefault="0031054F" w:rsidP="0031054F">
      <w:pPr>
        <w:pStyle w:val="Titre3"/>
        <w:jc w:val="both"/>
      </w:pPr>
      <w:bookmarkStart w:id="335" w:name="_Toc381191601"/>
      <w:r w:rsidRPr="007D5491">
        <w:t>Analyse des alternatives au plan de financement</w:t>
      </w:r>
      <w:bookmarkEnd w:id="335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</w:p>
    <w:p w:rsidR="0031054F" w:rsidRPr="00570D84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Sera ici examiné le scénario d’un plan de financement sans aucune aide financière et son </w:t>
      </w:r>
      <w:r w:rsidRPr="00570D84">
        <w:rPr>
          <w:rFonts w:ascii="Arial" w:hAnsi="Arial" w:cs="Arial"/>
          <w:i/>
          <w:sz w:val="20"/>
          <w:szCs w:val="20"/>
        </w:rPr>
        <w:t xml:space="preserve">impact sur les équilibres d’exploitation et le bilan. 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</w:p>
    <w:p w:rsidR="0031054F" w:rsidRDefault="0031054F" w:rsidP="0031054F">
      <w:pPr>
        <w:pStyle w:val="Titre3"/>
        <w:rPr>
          <w:rFonts w:eastAsia="Calibri"/>
        </w:rPr>
      </w:pPr>
      <w:bookmarkStart w:id="336" w:name="_Toc381191602"/>
      <w:r w:rsidRPr="007D5491">
        <w:rPr>
          <w:rFonts w:eastAsia="Calibri"/>
        </w:rPr>
        <w:t>Scénario hypothèse basse</w:t>
      </w:r>
      <w:bookmarkEnd w:id="336"/>
    </w:p>
    <w:p w:rsidR="0031054F" w:rsidRPr="00637F35" w:rsidRDefault="0031054F" w:rsidP="0031054F">
      <w:pPr>
        <w:rPr>
          <w:rFonts w:eastAsia="Calibri"/>
        </w:rPr>
      </w:pPr>
    </w:p>
    <w:p w:rsidR="0031054F" w:rsidRDefault="008D191C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L’établissement</w:t>
      </w:r>
      <w:r w:rsidR="0031054F">
        <w:rPr>
          <w:rFonts w:ascii="Arial" w:eastAsia="Calibri" w:hAnsi="Arial" w:cs="Arial"/>
          <w:i/>
          <w:sz w:val="20"/>
          <w:szCs w:val="20"/>
        </w:rPr>
        <w:t xml:space="preserve"> doit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 </w:t>
      </w:r>
      <w:r w:rsidR="0031054F">
        <w:rPr>
          <w:rFonts w:ascii="Arial" w:eastAsia="Calibri" w:hAnsi="Arial" w:cs="Arial"/>
          <w:i/>
          <w:sz w:val="20"/>
          <w:szCs w:val="20"/>
        </w:rPr>
        <w:t xml:space="preserve">évaluer le scénario prévu par 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>l’établissement au cas où l’activité ou les recettes sont en-deçà des hypothèses retenues,</w:t>
      </w:r>
      <w:r w:rsidR="0031054F">
        <w:rPr>
          <w:rFonts w:ascii="Arial" w:eastAsia="Calibri" w:hAnsi="Arial" w:cs="Arial"/>
          <w:i/>
          <w:sz w:val="20"/>
          <w:szCs w:val="20"/>
        </w:rPr>
        <w:t xml:space="preserve"> incluant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 </w:t>
      </w:r>
      <w:r w:rsidR="0031054F">
        <w:rPr>
          <w:rFonts w:ascii="Arial" w:eastAsia="Calibri" w:hAnsi="Arial" w:cs="Arial"/>
          <w:i/>
          <w:sz w:val="20"/>
          <w:szCs w:val="20"/>
        </w:rPr>
        <w:t xml:space="preserve">des 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pistes d’économies (évolution des charges, notamment de personnel, ou segmentation des travaux en tranches conditionnelles) ou de gains (recettes propres, organisation interne, </w:t>
      </w:r>
      <w:r w:rsidR="0031054F" w:rsidRPr="007D5491">
        <w:rPr>
          <w:rFonts w:ascii="Arial" w:eastAsia="Calibri" w:hAnsi="Arial" w:cs="Arial"/>
          <w:sz w:val="20"/>
          <w:szCs w:val="20"/>
        </w:rPr>
        <w:t>etc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.). Il s’agit de disposer, le cas échéant, d’une capacité de réaction pour éviter que l’établissement ne </w:t>
      </w:r>
      <w:r w:rsidR="0031054F">
        <w:rPr>
          <w:rFonts w:ascii="Arial" w:eastAsia="Calibri" w:hAnsi="Arial" w:cs="Arial"/>
          <w:i/>
          <w:sz w:val="20"/>
          <w:szCs w:val="20"/>
        </w:rPr>
        <w:t>s’écarte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 de la trajectoire d’équilibre financier.</w:t>
      </w:r>
    </w:p>
    <w:p w:rsidR="008D191C" w:rsidRPr="007D5491" w:rsidRDefault="008D191C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7D5491" w:rsidRDefault="0031054F" w:rsidP="0031054F">
      <w:pPr>
        <w:pStyle w:val="Titre3"/>
        <w:rPr>
          <w:rFonts w:eastAsia="Calibri"/>
        </w:rPr>
      </w:pPr>
      <w:bookmarkStart w:id="337" w:name="_Toc377127976"/>
      <w:bookmarkStart w:id="338" w:name="_Toc377128906"/>
      <w:bookmarkStart w:id="339" w:name="_Toc377129833"/>
      <w:bookmarkStart w:id="340" w:name="_Toc377133809"/>
      <w:bookmarkStart w:id="341" w:name="_Toc381191603"/>
      <w:bookmarkEnd w:id="337"/>
      <w:bookmarkEnd w:id="338"/>
      <w:bookmarkEnd w:id="339"/>
      <w:bookmarkEnd w:id="340"/>
      <w:r w:rsidRPr="007D5491">
        <w:rPr>
          <w:rFonts w:eastAsia="Calibri"/>
        </w:rPr>
        <w:t>Conclusion sur l’analyse du PGFP</w:t>
      </w:r>
      <w:bookmarkEnd w:id="341"/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8D191C" w:rsidRDefault="008D191C" w:rsidP="008D191C">
      <w:pPr>
        <w:jc w:val="right"/>
        <w:rPr>
          <w:rFonts w:eastAsia="Arial Unicode MS" w:cs="Arial"/>
          <w:b/>
          <w:i/>
          <w:szCs w:val="20"/>
        </w:rPr>
      </w:pPr>
      <w:bookmarkStart w:id="342" w:name="_Toc377127983"/>
      <w:bookmarkStart w:id="343" w:name="_Toc377128913"/>
      <w:bookmarkStart w:id="344" w:name="_Toc377129840"/>
      <w:bookmarkStart w:id="345" w:name="_Toc377133816"/>
      <w:bookmarkStart w:id="346" w:name="_Toc377127984"/>
      <w:bookmarkStart w:id="347" w:name="_Toc377128914"/>
      <w:bookmarkStart w:id="348" w:name="_Toc377129841"/>
      <w:bookmarkStart w:id="349" w:name="_Toc377133817"/>
      <w:bookmarkStart w:id="350" w:name="_Toc377127985"/>
      <w:bookmarkStart w:id="351" w:name="_Toc377128915"/>
      <w:bookmarkStart w:id="352" w:name="_Toc377129842"/>
      <w:bookmarkStart w:id="353" w:name="_Toc377133818"/>
      <w:bookmarkStart w:id="354" w:name="_Toc377127986"/>
      <w:bookmarkStart w:id="355" w:name="_Toc377128916"/>
      <w:bookmarkStart w:id="356" w:name="_Toc377129843"/>
      <w:bookmarkStart w:id="357" w:name="_Toc377133819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8D191C" w:rsidRDefault="008D191C" w:rsidP="008D191C">
      <w:pPr>
        <w:jc w:val="right"/>
        <w:rPr>
          <w:rFonts w:eastAsia="Arial Unicode MS" w:cs="Arial"/>
          <w:b/>
          <w:i/>
          <w:szCs w:val="20"/>
        </w:rPr>
      </w:pPr>
    </w:p>
    <w:p w:rsidR="0031054F" w:rsidRPr="006319C1" w:rsidRDefault="008D191C" w:rsidP="008D191C">
      <w:pPr>
        <w:jc w:val="right"/>
        <w:rPr>
          <w:rFonts w:cs="Arial"/>
          <w:b/>
          <w:i/>
          <w:szCs w:val="20"/>
        </w:rPr>
      </w:pPr>
      <w:r>
        <w:rPr>
          <w:rFonts w:eastAsia="Arial Unicode MS" w:cs="Arial"/>
          <w:b/>
          <w:i/>
          <w:szCs w:val="20"/>
        </w:rPr>
        <w:t xml:space="preserve">A </w:t>
      </w:r>
      <w:r w:rsidR="0031054F" w:rsidRPr="006319C1">
        <w:rPr>
          <w:rFonts w:eastAsia="Arial Unicode MS" w:cs="Arial"/>
          <w:b/>
          <w:i/>
          <w:szCs w:val="20"/>
        </w:rPr>
        <w:t>signer par le DG de l’</w:t>
      </w:r>
      <w:r>
        <w:rPr>
          <w:rFonts w:eastAsia="Arial Unicode MS" w:cs="Arial"/>
          <w:b/>
          <w:i/>
          <w:szCs w:val="20"/>
        </w:rPr>
        <w:t>établissement</w:t>
      </w:r>
    </w:p>
    <w:p w:rsidR="007C70F2" w:rsidRDefault="007C70F2"/>
    <w:sectPr w:rsidR="007C70F2" w:rsidSect="00F70F1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A9" w:rsidRDefault="00F445A9">
      <w:r>
        <w:separator/>
      </w:r>
    </w:p>
  </w:endnote>
  <w:endnote w:type="continuationSeparator" w:id="0">
    <w:p w:rsidR="00F445A9" w:rsidRDefault="00F4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0766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07663">
    <w:pPr>
      <w:pStyle w:val="Pieddepage"/>
      <w:jc w:val="right"/>
      <w:rPr>
        <w:color w:val="FF0000"/>
      </w:rPr>
    </w:pPr>
  </w:p>
  <w:p w:rsidR="00007663" w:rsidRPr="00E643CD" w:rsidRDefault="00007663" w:rsidP="0031054F">
    <w:pPr>
      <w:pStyle w:val="Pieddepage"/>
      <w:jc w:val="right"/>
      <w:rPr>
        <w:color w:val="FF0000"/>
      </w:rPr>
    </w:pPr>
    <w:r w:rsidRPr="00E643CD">
      <w:rPr>
        <w:color w:val="FF0000"/>
      </w:rPr>
      <w:t>Nom de l’Etablissement</w:t>
    </w:r>
    <w:r>
      <w:rPr>
        <w:color w:val="FF0000"/>
      </w:rPr>
      <w:t xml:space="preserve">                                                                                                     </w:t>
    </w:r>
    <w:r w:rsidRPr="00E643CD">
      <w:rPr>
        <w:color w:val="FF0000"/>
      </w:rPr>
      <w:t xml:space="preserve">Page </w:t>
    </w:r>
    <w:r w:rsidR="00DD5836"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PAGE</w:instrText>
    </w:r>
    <w:r w:rsidR="00DD5836" w:rsidRPr="00E643CD">
      <w:rPr>
        <w:b/>
        <w:color w:val="FF0000"/>
        <w:sz w:val="24"/>
        <w:szCs w:val="24"/>
      </w:rPr>
      <w:fldChar w:fldCharType="separate"/>
    </w:r>
    <w:r w:rsidR="000F318D">
      <w:rPr>
        <w:b/>
        <w:noProof/>
        <w:color w:val="FF0000"/>
      </w:rPr>
      <w:t>1</w:t>
    </w:r>
    <w:r w:rsidR="00DD5836" w:rsidRPr="00E643CD">
      <w:rPr>
        <w:b/>
        <w:color w:val="FF0000"/>
        <w:sz w:val="24"/>
        <w:szCs w:val="24"/>
      </w:rPr>
      <w:fldChar w:fldCharType="end"/>
    </w:r>
    <w:r w:rsidRPr="00E643CD">
      <w:rPr>
        <w:color w:val="FF0000"/>
      </w:rPr>
      <w:t xml:space="preserve"> sur </w:t>
    </w:r>
    <w:r w:rsidR="00DD5836"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NUMPAGES</w:instrText>
    </w:r>
    <w:r w:rsidR="00DD5836" w:rsidRPr="00E643CD">
      <w:rPr>
        <w:b/>
        <w:color w:val="FF0000"/>
        <w:sz w:val="24"/>
        <w:szCs w:val="24"/>
      </w:rPr>
      <w:fldChar w:fldCharType="separate"/>
    </w:r>
    <w:r w:rsidR="000F318D">
      <w:rPr>
        <w:b/>
        <w:noProof/>
        <w:color w:val="FF0000"/>
      </w:rPr>
      <w:t>16</w:t>
    </w:r>
    <w:r w:rsidR="00DD5836" w:rsidRPr="00E643CD">
      <w:rPr>
        <w:b/>
        <w:color w:val="FF0000"/>
        <w:sz w:val="24"/>
        <w:szCs w:val="24"/>
      </w:rPr>
      <w:fldChar w:fldCharType="end"/>
    </w:r>
  </w:p>
  <w:p w:rsidR="00007663" w:rsidRPr="00E643CD" w:rsidRDefault="00007663">
    <w:pPr>
      <w:pStyle w:val="Pieddepage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07663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Pr="00E643CD" w:rsidRDefault="00007663">
    <w:pPr>
      <w:pStyle w:val="Pieddepage"/>
      <w:rPr>
        <w:color w:val="FF0000"/>
      </w:rPr>
    </w:pPr>
    <w:r w:rsidRPr="00E643CD">
      <w:rPr>
        <w:color w:val="FF0000"/>
      </w:rPr>
      <w:t xml:space="preserve">Page </w:t>
    </w:r>
    <w:r w:rsidR="00DD5836"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PAGE</w:instrText>
    </w:r>
    <w:r w:rsidR="00DD5836" w:rsidRPr="00E643CD">
      <w:rPr>
        <w:b/>
        <w:color w:val="FF0000"/>
        <w:sz w:val="24"/>
        <w:szCs w:val="24"/>
      </w:rPr>
      <w:fldChar w:fldCharType="separate"/>
    </w:r>
    <w:r w:rsidR="000F318D">
      <w:rPr>
        <w:b/>
        <w:noProof/>
        <w:color w:val="FF0000"/>
      </w:rPr>
      <w:t>16</w:t>
    </w:r>
    <w:r w:rsidR="00DD5836" w:rsidRPr="00E643CD">
      <w:rPr>
        <w:b/>
        <w:color w:val="FF0000"/>
        <w:sz w:val="24"/>
        <w:szCs w:val="24"/>
      </w:rPr>
      <w:fldChar w:fldCharType="end"/>
    </w:r>
    <w:r w:rsidRPr="00E643CD">
      <w:rPr>
        <w:color w:val="FF0000"/>
      </w:rPr>
      <w:t xml:space="preserve"> sur </w:t>
    </w:r>
    <w:r w:rsidR="00DD5836"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NUMPAGES</w:instrText>
    </w:r>
    <w:r w:rsidR="00DD5836" w:rsidRPr="00E643CD">
      <w:rPr>
        <w:b/>
        <w:color w:val="FF0000"/>
        <w:sz w:val="24"/>
        <w:szCs w:val="24"/>
      </w:rPr>
      <w:fldChar w:fldCharType="separate"/>
    </w:r>
    <w:r w:rsidR="000F318D">
      <w:rPr>
        <w:b/>
        <w:noProof/>
        <w:color w:val="FF0000"/>
      </w:rPr>
      <w:t>16</w:t>
    </w:r>
    <w:r w:rsidR="00DD5836" w:rsidRPr="00E643CD">
      <w:rPr>
        <w:b/>
        <w:color w:val="FF0000"/>
        <w:sz w:val="24"/>
        <w:szCs w:val="24"/>
      </w:rPr>
      <w:fldChar w:fldCharType="end"/>
    </w:r>
    <w:r>
      <w:rPr>
        <w:color w:val="FF0000"/>
      </w:rPr>
      <w:tab/>
    </w:r>
    <w:r>
      <w:rPr>
        <w:color w:val="FF0000"/>
      </w:rPr>
      <w:tab/>
    </w:r>
    <w:r w:rsidRPr="00E643CD">
      <w:rPr>
        <w:color w:val="FF0000"/>
      </w:rPr>
      <w:t>Nom de l’</w:t>
    </w:r>
    <w:r>
      <w:rPr>
        <w:color w:val="FF0000"/>
      </w:rPr>
      <w:t>é</w:t>
    </w:r>
    <w:r w:rsidRPr="00E643CD">
      <w:rPr>
        <w:color w:val="FF0000"/>
      </w:rPr>
      <w:t>tablissement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A9" w:rsidRDefault="00F445A9">
      <w:r>
        <w:separator/>
      </w:r>
    </w:p>
  </w:footnote>
  <w:footnote w:type="continuationSeparator" w:id="0">
    <w:p w:rsidR="00F445A9" w:rsidRDefault="00F445A9">
      <w:r>
        <w:continuationSeparator/>
      </w:r>
    </w:p>
  </w:footnote>
  <w:footnote w:id="1">
    <w:p w:rsidR="00E9074E" w:rsidRDefault="00E9074E" w:rsidP="00E9074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91B84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691B84">
        <w:rPr>
          <w:sz w:val="16"/>
          <w:szCs w:val="16"/>
        </w:rPr>
        <w:t>ans après mise en service du projet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F318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1" o:spid="_x0000_s2050" type="#_x0000_t136" style="position:absolute;margin-left:0;margin-top:0;width:548.15pt;height:9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F318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2" o:spid="_x0000_s2051" type="#_x0000_t136" style="position:absolute;margin-left:0;margin-top:0;width:548.15pt;height:9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F318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0" o:spid="_x0000_s2049" type="#_x0000_t136" style="position:absolute;margin-left:0;margin-top:0;width:548.15pt;height:9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F318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4" o:spid="_x0000_s2053" type="#_x0000_t136" style="position:absolute;margin-left:0;margin-top:0;width:548.15pt;height:91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F318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5" o:spid="_x0000_s2054" type="#_x0000_t136" style="position:absolute;margin-left:0;margin-top:0;width:548.15pt;height:91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63" w:rsidRDefault="000F318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3" o:spid="_x0000_s2052" type="#_x0000_t136" style="position:absolute;margin-left:0;margin-top:0;width:548.15pt;height:91.3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E1139D"/>
    <w:multiLevelType w:val="hybridMultilevel"/>
    <w:tmpl w:val="A5A076B6"/>
    <w:lvl w:ilvl="0" w:tplc="A84E62B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C22EB6">
      <w:start w:val="1"/>
      <w:numFmt w:val="bullet"/>
      <w:pStyle w:val="Bullet2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A0E273F8">
      <w:start w:val="1"/>
      <w:numFmt w:val="bullet"/>
      <w:pStyle w:val="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23D"/>
    <w:multiLevelType w:val="hybridMultilevel"/>
    <w:tmpl w:val="3F983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68C9"/>
    <w:multiLevelType w:val="hybridMultilevel"/>
    <w:tmpl w:val="870A113C"/>
    <w:lvl w:ilvl="0" w:tplc="9FBEBE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D1741B"/>
    <w:multiLevelType w:val="hybridMultilevel"/>
    <w:tmpl w:val="375E690C"/>
    <w:lvl w:ilvl="0" w:tplc="EA4CF01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8063E"/>
    <w:multiLevelType w:val="hybridMultilevel"/>
    <w:tmpl w:val="646620B8"/>
    <w:lvl w:ilvl="0" w:tplc="9FBEBE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95B93"/>
    <w:multiLevelType w:val="hybridMultilevel"/>
    <w:tmpl w:val="D9A0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21F01"/>
    <w:multiLevelType w:val="hybridMultilevel"/>
    <w:tmpl w:val="23F0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30FE4"/>
    <w:multiLevelType w:val="hybridMultilevel"/>
    <w:tmpl w:val="BAAE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D13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792893"/>
    <w:multiLevelType w:val="hybridMultilevel"/>
    <w:tmpl w:val="4CB8C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06ADA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F79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30095C"/>
    <w:multiLevelType w:val="multilevel"/>
    <w:tmpl w:val="A4C8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3734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B067A8"/>
    <w:multiLevelType w:val="hybridMultilevel"/>
    <w:tmpl w:val="B73A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71FEF"/>
    <w:multiLevelType w:val="hybridMultilevel"/>
    <w:tmpl w:val="5D0E7D5C"/>
    <w:lvl w:ilvl="0" w:tplc="3932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E5208"/>
    <w:multiLevelType w:val="hybridMultilevel"/>
    <w:tmpl w:val="71DC8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F68DC"/>
    <w:multiLevelType w:val="hybridMultilevel"/>
    <w:tmpl w:val="1D58FA72"/>
    <w:lvl w:ilvl="0" w:tplc="9FBEBE6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07594D"/>
    <w:multiLevelType w:val="hybridMultilevel"/>
    <w:tmpl w:val="B144FD36"/>
    <w:lvl w:ilvl="0" w:tplc="7602BE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B4C4A"/>
    <w:multiLevelType w:val="hybridMultilevel"/>
    <w:tmpl w:val="051C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A54B3"/>
    <w:multiLevelType w:val="hybridMultilevel"/>
    <w:tmpl w:val="3DB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456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7318F9"/>
    <w:multiLevelType w:val="multilevel"/>
    <w:tmpl w:val="84BA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680BFC"/>
    <w:multiLevelType w:val="hybridMultilevel"/>
    <w:tmpl w:val="D654CDA6"/>
    <w:lvl w:ilvl="0" w:tplc="4A701DA6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3562B"/>
    <w:multiLevelType w:val="hybridMultilevel"/>
    <w:tmpl w:val="E3CC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379A3"/>
    <w:multiLevelType w:val="hybridMultilevel"/>
    <w:tmpl w:val="F020C54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371C4"/>
    <w:multiLevelType w:val="hybridMultilevel"/>
    <w:tmpl w:val="6E02B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60E65"/>
    <w:multiLevelType w:val="hybridMultilevel"/>
    <w:tmpl w:val="FCA4C61C"/>
    <w:lvl w:ilvl="0" w:tplc="9FBEBE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F1955ED"/>
    <w:multiLevelType w:val="hybridMultilevel"/>
    <w:tmpl w:val="7C9E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024DC"/>
    <w:multiLevelType w:val="hybridMultilevel"/>
    <w:tmpl w:val="A7747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634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2D5E37"/>
    <w:multiLevelType w:val="multilevel"/>
    <w:tmpl w:val="959E551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ascii="Arial" w:hAnsi="Arial" w:cs="Arial" w:hint="default"/>
        <w:i w:val="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2">
    <w:nsid w:val="77EF5F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E374DC3"/>
    <w:multiLevelType w:val="hybridMultilevel"/>
    <w:tmpl w:val="BDC25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9"/>
  </w:num>
  <w:num w:numId="5">
    <w:abstractNumId w:val="12"/>
  </w:num>
  <w:num w:numId="6">
    <w:abstractNumId w:val="18"/>
  </w:num>
  <w:num w:numId="7">
    <w:abstractNumId w:val="6"/>
  </w:num>
  <w:num w:numId="8">
    <w:abstractNumId w:val="28"/>
  </w:num>
  <w:num w:numId="9">
    <w:abstractNumId w:val="30"/>
  </w:num>
  <w:num w:numId="10">
    <w:abstractNumId w:val="21"/>
  </w:num>
  <w:num w:numId="11">
    <w:abstractNumId w:val="13"/>
  </w:num>
  <w:num w:numId="12">
    <w:abstractNumId w:val="11"/>
  </w:num>
  <w:num w:numId="13">
    <w:abstractNumId w:val="24"/>
  </w:num>
  <w:num w:numId="14">
    <w:abstractNumId w:val="4"/>
  </w:num>
  <w:num w:numId="15">
    <w:abstractNumId w:val="9"/>
  </w:num>
  <w:num w:numId="16">
    <w:abstractNumId w:val="32"/>
  </w:num>
  <w:num w:numId="17">
    <w:abstractNumId w:val="31"/>
  </w:num>
  <w:num w:numId="18">
    <w:abstractNumId w:val="20"/>
  </w:num>
  <w:num w:numId="19">
    <w:abstractNumId w:val="1"/>
  </w:num>
  <w:num w:numId="20">
    <w:abstractNumId w:val="8"/>
  </w:num>
  <w:num w:numId="21">
    <w:abstractNumId w:val="7"/>
  </w:num>
  <w:num w:numId="22">
    <w:abstractNumId w:val="14"/>
  </w:num>
  <w:num w:numId="23">
    <w:abstractNumId w:val="25"/>
  </w:num>
  <w:num w:numId="24">
    <w:abstractNumId w:val="19"/>
  </w:num>
  <w:num w:numId="25">
    <w:abstractNumId w:val="33"/>
  </w:num>
  <w:num w:numId="26">
    <w:abstractNumId w:val="3"/>
  </w:num>
  <w:num w:numId="27">
    <w:abstractNumId w:val="5"/>
  </w:num>
  <w:num w:numId="28">
    <w:abstractNumId w:val="17"/>
  </w:num>
  <w:num w:numId="29">
    <w:abstractNumId w:val="2"/>
  </w:num>
  <w:num w:numId="30">
    <w:abstractNumId w:val="23"/>
  </w:num>
  <w:num w:numId="31">
    <w:abstractNumId w:val="26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4F"/>
    <w:rsid w:val="00007663"/>
    <w:rsid w:val="00025D1C"/>
    <w:rsid w:val="00053C3E"/>
    <w:rsid w:val="000E2C86"/>
    <w:rsid w:val="000F318D"/>
    <w:rsid w:val="00170905"/>
    <w:rsid w:val="002145CE"/>
    <w:rsid w:val="00235B7A"/>
    <w:rsid w:val="00290F29"/>
    <w:rsid w:val="002F0211"/>
    <w:rsid w:val="002F2230"/>
    <w:rsid w:val="0031054F"/>
    <w:rsid w:val="00357B34"/>
    <w:rsid w:val="003750C0"/>
    <w:rsid w:val="003A07C9"/>
    <w:rsid w:val="003F0FC2"/>
    <w:rsid w:val="00404940"/>
    <w:rsid w:val="00427076"/>
    <w:rsid w:val="00461125"/>
    <w:rsid w:val="004918B9"/>
    <w:rsid w:val="004B0A7F"/>
    <w:rsid w:val="004F0708"/>
    <w:rsid w:val="004F6B38"/>
    <w:rsid w:val="00542179"/>
    <w:rsid w:val="005707D1"/>
    <w:rsid w:val="00570D84"/>
    <w:rsid w:val="00583A78"/>
    <w:rsid w:val="005A2766"/>
    <w:rsid w:val="005B0C33"/>
    <w:rsid w:val="005E7EB4"/>
    <w:rsid w:val="00641706"/>
    <w:rsid w:val="00691B84"/>
    <w:rsid w:val="006E1DE7"/>
    <w:rsid w:val="007540F9"/>
    <w:rsid w:val="0076170E"/>
    <w:rsid w:val="007C70F2"/>
    <w:rsid w:val="007E02CE"/>
    <w:rsid w:val="007E3D91"/>
    <w:rsid w:val="00851E9F"/>
    <w:rsid w:val="008913A6"/>
    <w:rsid w:val="008D191C"/>
    <w:rsid w:val="0090572C"/>
    <w:rsid w:val="00963EBE"/>
    <w:rsid w:val="00991957"/>
    <w:rsid w:val="009F53F3"/>
    <w:rsid w:val="00A52266"/>
    <w:rsid w:val="00A76B05"/>
    <w:rsid w:val="00B41D09"/>
    <w:rsid w:val="00B9178E"/>
    <w:rsid w:val="00BD2FDA"/>
    <w:rsid w:val="00BD4204"/>
    <w:rsid w:val="00BE7DE5"/>
    <w:rsid w:val="00BF50F2"/>
    <w:rsid w:val="00C01050"/>
    <w:rsid w:val="00C25465"/>
    <w:rsid w:val="00C7562E"/>
    <w:rsid w:val="00CA7856"/>
    <w:rsid w:val="00D25268"/>
    <w:rsid w:val="00D32F62"/>
    <w:rsid w:val="00D9611D"/>
    <w:rsid w:val="00DC6A0A"/>
    <w:rsid w:val="00DD5836"/>
    <w:rsid w:val="00DF702B"/>
    <w:rsid w:val="00E12E55"/>
    <w:rsid w:val="00E2308F"/>
    <w:rsid w:val="00E25FBE"/>
    <w:rsid w:val="00E479AA"/>
    <w:rsid w:val="00E9074E"/>
    <w:rsid w:val="00EA4BC4"/>
    <w:rsid w:val="00EA73C7"/>
    <w:rsid w:val="00EB4952"/>
    <w:rsid w:val="00F226BE"/>
    <w:rsid w:val="00F273F9"/>
    <w:rsid w:val="00F445A9"/>
    <w:rsid w:val="00F70F10"/>
    <w:rsid w:val="00F87A31"/>
    <w:rsid w:val="00F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F"/>
    <w:rPr>
      <w:rFonts w:ascii="Arial" w:eastAsia="Times New Roman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054F"/>
    <w:pPr>
      <w:keepNext/>
      <w:keepLines/>
      <w:numPr>
        <w:numId w:val="17"/>
      </w:numPr>
      <w:shd w:val="pct10" w:color="auto" w:fill="auto"/>
      <w:spacing w:before="480"/>
      <w:outlineLvl w:val="0"/>
    </w:pPr>
    <w:rPr>
      <w:b/>
      <w:bCs/>
      <w:sz w:val="2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054F"/>
    <w:pPr>
      <w:keepNext/>
      <w:keepLines/>
      <w:numPr>
        <w:ilvl w:val="1"/>
        <w:numId w:val="17"/>
      </w:numPr>
      <w:spacing w:before="200"/>
      <w:outlineLvl w:val="1"/>
    </w:pPr>
    <w:rPr>
      <w:b/>
      <w:bCs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054F"/>
    <w:pPr>
      <w:keepNext/>
      <w:keepLines/>
      <w:numPr>
        <w:ilvl w:val="2"/>
        <w:numId w:val="17"/>
      </w:numPr>
      <w:spacing w:before="20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54F"/>
    <w:pPr>
      <w:keepNext/>
      <w:keepLines/>
      <w:numPr>
        <w:ilvl w:val="3"/>
        <w:numId w:val="17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054F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054F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054F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054F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054F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54F"/>
    <w:rPr>
      <w:rFonts w:ascii="Arial" w:eastAsia="Times New Roman" w:hAnsi="Arial" w:cs="Times New Roman"/>
      <w:b/>
      <w:bCs/>
      <w:sz w:val="22"/>
      <w:szCs w:val="28"/>
      <w:shd w:val="pct10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31054F"/>
    <w:rPr>
      <w:rFonts w:ascii="Arial" w:eastAsia="Times New Roman" w:hAnsi="Arial" w:cs="Times New Roman"/>
      <w:b/>
      <w:bCs/>
      <w:color w:val="C00000"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054F"/>
    <w:rPr>
      <w:rFonts w:ascii="Arial" w:eastAsia="Times New Roman" w:hAnsi="Arial" w:cs="Times New Roman"/>
      <w:b/>
      <w:bCs/>
      <w:sz w:val="20"/>
    </w:rPr>
  </w:style>
  <w:style w:type="character" w:customStyle="1" w:styleId="Titre4Car">
    <w:name w:val="Titre 4 Car"/>
    <w:basedOn w:val="Policepardfaut"/>
    <w:link w:val="Titre4"/>
    <w:uiPriority w:val="9"/>
    <w:rsid w:val="0031054F"/>
    <w:rPr>
      <w:rFonts w:ascii="Cambria" w:eastAsia="Times New Roman" w:hAnsi="Cambria" w:cs="Times New Roman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1054F"/>
    <w:rPr>
      <w:rFonts w:ascii="Cambria" w:eastAsia="Times New Roman" w:hAnsi="Cambria" w:cs="Times New Roman"/>
      <w:color w:val="243F60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1054F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1054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agraphedeliste">
    <w:name w:val="List Paragraph"/>
    <w:basedOn w:val="Normal"/>
    <w:qFormat/>
    <w:rsid w:val="0031054F"/>
    <w:pPr>
      <w:suppressAutoHyphens/>
      <w:ind w:left="720"/>
      <w:jc w:val="both"/>
    </w:pPr>
    <w:rPr>
      <w:rFonts w:eastAsia="Calibri"/>
      <w:lang w:eastAsia="ar-SA"/>
    </w:rPr>
  </w:style>
  <w:style w:type="paragraph" w:styleId="Corpsdetexte3">
    <w:name w:val="Body Text 3"/>
    <w:basedOn w:val="Normal"/>
    <w:link w:val="Corpsdetexte3Car"/>
    <w:uiPriority w:val="99"/>
    <w:rsid w:val="0031054F"/>
    <w:pPr>
      <w:jc w:val="both"/>
    </w:pPr>
    <w:rPr>
      <w:rFonts w:ascii="CG Omega" w:hAnsi="CG Omega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1054F"/>
    <w:rPr>
      <w:rFonts w:ascii="CG Omega" w:eastAsia="Times New Roman" w:hAnsi="CG Omega" w:cs="Times New Roman"/>
      <w:szCs w:val="20"/>
      <w:lang w:eastAsia="fr-FR"/>
    </w:rPr>
  </w:style>
  <w:style w:type="paragraph" w:styleId="Citation">
    <w:name w:val="Quote"/>
    <w:basedOn w:val="Normal"/>
    <w:link w:val="CitationCar"/>
    <w:uiPriority w:val="99"/>
    <w:qFormat/>
    <w:rsid w:val="0031054F"/>
    <w:pPr>
      <w:widowControl w:val="0"/>
      <w:suppressAutoHyphens/>
      <w:spacing w:after="283"/>
      <w:ind w:left="567" w:right="567"/>
    </w:pPr>
    <w:rPr>
      <w:rFonts w:ascii="Times New Roman" w:eastAsia="Arial Unicode MS" w:hAnsi="Times New Roman"/>
      <w:kern w:val="1"/>
      <w:sz w:val="24"/>
      <w:szCs w:val="24"/>
      <w:lang w:eastAsia="fr-FR"/>
    </w:rPr>
  </w:style>
  <w:style w:type="character" w:customStyle="1" w:styleId="CitationCar">
    <w:name w:val="Citation Car"/>
    <w:basedOn w:val="Policepardfaut"/>
    <w:link w:val="Citation"/>
    <w:uiPriority w:val="99"/>
    <w:rsid w:val="0031054F"/>
    <w:rPr>
      <w:rFonts w:eastAsia="Arial Unicode MS" w:cs="Times New Roman"/>
      <w:kern w:val="1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54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054F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054F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31054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1054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1054F"/>
    <w:pPr>
      <w:spacing w:after="100"/>
      <w:ind w:left="440"/>
    </w:pPr>
  </w:style>
  <w:style w:type="paragraph" w:customStyle="1" w:styleId="Bullet1">
    <w:name w:val="Bullet 1"/>
    <w:basedOn w:val="Normal"/>
    <w:link w:val="Bullet1Char"/>
    <w:qFormat/>
    <w:rsid w:val="0031054F"/>
    <w:pPr>
      <w:numPr>
        <w:numId w:val="19"/>
      </w:numPr>
      <w:jc w:val="both"/>
    </w:pPr>
    <w:rPr>
      <w:rFonts w:ascii="Calibri" w:eastAsia="Calibri" w:hAnsi="Calibri"/>
      <w:sz w:val="22"/>
      <w:szCs w:val="20"/>
    </w:rPr>
  </w:style>
  <w:style w:type="paragraph" w:customStyle="1" w:styleId="Bullet2">
    <w:name w:val="Bullet 2"/>
    <w:basedOn w:val="Bullet1"/>
    <w:qFormat/>
    <w:rsid w:val="0031054F"/>
    <w:pPr>
      <w:numPr>
        <w:ilvl w:val="1"/>
      </w:numPr>
    </w:pPr>
  </w:style>
  <w:style w:type="character" w:customStyle="1" w:styleId="Bullet1Char">
    <w:name w:val="Bullet 1 Char"/>
    <w:link w:val="Bullet1"/>
    <w:rsid w:val="0031054F"/>
    <w:rPr>
      <w:rFonts w:ascii="Calibri" w:eastAsia="Calibri" w:hAnsi="Calibri" w:cs="Times New Roman"/>
      <w:sz w:val="22"/>
    </w:rPr>
  </w:style>
  <w:style w:type="paragraph" w:customStyle="1" w:styleId="Bullet3">
    <w:name w:val="Bullet 3"/>
    <w:basedOn w:val="Bullet2"/>
    <w:qFormat/>
    <w:rsid w:val="0031054F"/>
    <w:pPr>
      <w:numPr>
        <w:ilvl w:val="2"/>
      </w:numPr>
    </w:pPr>
  </w:style>
  <w:style w:type="paragraph" w:customStyle="1" w:styleId="Figuretext">
    <w:name w:val="Figure text"/>
    <w:basedOn w:val="Normal"/>
    <w:link w:val="FiguretextChar"/>
    <w:qFormat/>
    <w:rsid w:val="0031054F"/>
    <w:pPr>
      <w:autoSpaceDE w:val="0"/>
      <w:autoSpaceDN w:val="0"/>
      <w:adjustRightInd w:val="0"/>
      <w:textAlignment w:val="center"/>
    </w:pPr>
    <w:rPr>
      <w:rFonts w:ascii="Calibri" w:eastAsia="Calibri" w:hAnsi="Calibri"/>
      <w:color w:val="4D4F53"/>
      <w:sz w:val="18"/>
      <w:szCs w:val="24"/>
      <w:lang w:val="en-GB"/>
    </w:rPr>
  </w:style>
  <w:style w:type="character" w:customStyle="1" w:styleId="FiguretextChar">
    <w:name w:val="Figure text Char"/>
    <w:link w:val="Figuretext"/>
    <w:rsid w:val="0031054F"/>
    <w:rPr>
      <w:rFonts w:ascii="Calibri" w:eastAsia="Calibri" w:hAnsi="Calibri" w:cs="Times New Roman"/>
      <w:color w:val="4D4F53"/>
      <w:sz w:val="18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310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10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54F"/>
    <w:rPr>
      <w:rFonts w:ascii="Arial" w:eastAsia="Times New Roman" w:hAnsi="Arial" w:cs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10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54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54F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54F"/>
    <w:rPr>
      <w:rFonts w:ascii="Arial" w:eastAsia="Times New Roman" w:hAnsi="Arial" w:cs="Times New Roman"/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31054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1054F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1B84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1B84"/>
    <w:rPr>
      <w:rFonts w:ascii="Arial" w:eastAsia="Times New Roman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91B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F"/>
    <w:rPr>
      <w:rFonts w:ascii="Arial" w:eastAsia="Times New Roman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054F"/>
    <w:pPr>
      <w:keepNext/>
      <w:keepLines/>
      <w:numPr>
        <w:numId w:val="17"/>
      </w:numPr>
      <w:shd w:val="pct10" w:color="auto" w:fill="auto"/>
      <w:spacing w:before="480"/>
      <w:outlineLvl w:val="0"/>
    </w:pPr>
    <w:rPr>
      <w:b/>
      <w:bCs/>
      <w:sz w:val="2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054F"/>
    <w:pPr>
      <w:keepNext/>
      <w:keepLines/>
      <w:numPr>
        <w:ilvl w:val="1"/>
        <w:numId w:val="17"/>
      </w:numPr>
      <w:spacing w:before="200"/>
      <w:outlineLvl w:val="1"/>
    </w:pPr>
    <w:rPr>
      <w:b/>
      <w:bCs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054F"/>
    <w:pPr>
      <w:keepNext/>
      <w:keepLines/>
      <w:numPr>
        <w:ilvl w:val="2"/>
        <w:numId w:val="17"/>
      </w:numPr>
      <w:spacing w:before="20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54F"/>
    <w:pPr>
      <w:keepNext/>
      <w:keepLines/>
      <w:numPr>
        <w:ilvl w:val="3"/>
        <w:numId w:val="17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054F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054F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054F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054F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054F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54F"/>
    <w:rPr>
      <w:rFonts w:ascii="Arial" w:eastAsia="Times New Roman" w:hAnsi="Arial" w:cs="Times New Roman"/>
      <w:b/>
      <w:bCs/>
      <w:sz w:val="22"/>
      <w:szCs w:val="28"/>
      <w:shd w:val="pct10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31054F"/>
    <w:rPr>
      <w:rFonts w:ascii="Arial" w:eastAsia="Times New Roman" w:hAnsi="Arial" w:cs="Times New Roman"/>
      <w:b/>
      <w:bCs/>
      <w:color w:val="C00000"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054F"/>
    <w:rPr>
      <w:rFonts w:ascii="Arial" w:eastAsia="Times New Roman" w:hAnsi="Arial" w:cs="Times New Roman"/>
      <w:b/>
      <w:bCs/>
      <w:sz w:val="20"/>
    </w:rPr>
  </w:style>
  <w:style w:type="character" w:customStyle="1" w:styleId="Titre4Car">
    <w:name w:val="Titre 4 Car"/>
    <w:basedOn w:val="Policepardfaut"/>
    <w:link w:val="Titre4"/>
    <w:uiPriority w:val="9"/>
    <w:rsid w:val="0031054F"/>
    <w:rPr>
      <w:rFonts w:ascii="Cambria" w:eastAsia="Times New Roman" w:hAnsi="Cambria" w:cs="Times New Roman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1054F"/>
    <w:rPr>
      <w:rFonts w:ascii="Cambria" w:eastAsia="Times New Roman" w:hAnsi="Cambria" w:cs="Times New Roman"/>
      <w:color w:val="243F60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1054F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1054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agraphedeliste">
    <w:name w:val="List Paragraph"/>
    <w:basedOn w:val="Normal"/>
    <w:qFormat/>
    <w:rsid w:val="0031054F"/>
    <w:pPr>
      <w:suppressAutoHyphens/>
      <w:ind w:left="720"/>
      <w:jc w:val="both"/>
    </w:pPr>
    <w:rPr>
      <w:rFonts w:eastAsia="Calibri"/>
      <w:lang w:eastAsia="ar-SA"/>
    </w:rPr>
  </w:style>
  <w:style w:type="paragraph" w:styleId="Corpsdetexte3">
    <w:name w:val="Body Text 3"/>
    <w:basedOn w:val="Normal"/>
    <w:link w:val="Corpsdetexte3Car"/>
    <w:uiPriority w:val="99"/>
    <w:rsid w:val="0031054F"/>
    <w:pPr>
      <w:jc w:val="both"/>
    </w:pPr>
    <w:rPr>
      <w:rFonts w:ascii="CG Omega" w:hAnsi="CG Omega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1054F"/>
    <w:rPr>
      <w:rFonts w:ascii="CG Omega" w:eastAsia="Times New Roman" w:hAnsi="CG Omega" w:cs="Times New Roman"/>
      <w:szCs w:val="20"/>
      <w:lang w:eastAsia="fr-FR"/>
    </w:rPr>
  </w:style>
  <w:style w:type="paragraph" w:styleId="Citation">
    <w:name w:val="Quote"/>
    <w:basedOn w:val="Normal"/>
    <w:link w:val="CitationCar"/>
    <w:uiPriority w:val="99"/>
    <w:qFormat/>
    <w:rsid w:val="0031054F"/>
    <w:pPr>
      <w:widowControl w:val="0"/>
      <w:suppressAutoHyphens/>
      <w:spacing w:after="283"/>
      <w:ind w:left="567" w:right="567"/>
    </w:pPr>
    <w:rPr>
      <w:rFonts w:ascii="Times New Roman" w:eastAsia="Arial Unicode MS" w:hAnsi="Times New Roman"/>
      <w:kern w:val="1"/>
      <w:sz w:val="24"/>
      <w:szCs w:val="24"/>
      <w:lang w:eastAsia="fr-FR"/>
    </w:rPr>
  </w:style>
  <w:style w:type="character" w:customStyle="1" w:styleId="CitationCar">
    <w:name w:val="Citation Car"/>
    <w:basedOn w:val="Policepardfaut"/>
    <w:link w:val="Citation"/>
    <w:uiPriority w:val="99"/>
    <w:rsid w:val="0031054F"/>
    <w:rPr>
      <w:rFonts w:eastAsia="Arial Unicode MS" w:cs="Times New Roman"/>
      <w:kern w:val="1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54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054F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054F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31054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1054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1054F"/>
    <w:pPr>
      <w:spacing w:after="100"/>
      <w:ind w:left="440"/>
    </w:pPr>
  </w:style>
  <w:style w:type="paragraph" w:customStyle="1" w:styleId="Bullet1">
    <w:name w:val="Bullet 1"/>
    <w:basedOn w:val="Normal"/>
    <w:link w:val="Bullet1Char"/>
    <w:qFormat/>
    <w:rsid w:val="0031054F"/>
    <w:pPr>
      <w:numPr>
        <w:numId w:val="19"/>
      </w:numPr>
      <w:jc w:val="both"/>
    </w:pPr>
    <w:rPr>
      <w:rFonts w:ascii="Calibri" w:eastAsia="Calibri" w:hAnsi="Calibri"/>
      <w:sz w:val="22"/>
      <w:szCs w:val="20"/>
    </w:rPr>
  </w:style>
  <w:style w:type="paragraph" w:customStyle="1" w:styleId="Bullet2">
    <w:name w:val="Bullet 2"/>
    <w:basedOn w:val="Bullet1"/>
    <w:qFormat/>
    <w:rsid w:val="0031054F"/>
    <w:pPr>
      <w:numPr>
        <w:ilvl w:val="1"/>
      </w:numPr>
    </w:pPr>
  </w:style>
  <w:style w:type="character" w:customStyle="1" w:styleId="Bullet1Char">
    <w:name w:val="Bullet 1 Char"/>
    <w:link w:val="Bullet1"/>
    <w:rsid w:val="0031054F"/>
    <w:rPr>
      <w:rFonts w:ascii="Calibri" w:eastAsia="Calibri" w:hAnsi="Calibri" w:cs="Times New Roman"/>
      <w:sz w:val="22"/>
    </w:rPr>
  </w:style>
  <w:style w:type="paragraph" w:customStyle="1" w:styleId="Bullet3">
    <w:name w:val="Bullet 3"/>
    <w:basedOn w:val="Bullet2"/>
    <w:qFormat/>
    <w:rsid w:val="0031054F"/>
    <w:pPr>
      <w:numPr>
        <w:ilvl w:val="2"/>
      </w:numPr>
    </w:pPr>
  </w:style>
  <w:style w:type="paragraph" w:customStyle="1" w:styleId="Figuretext">
    <w:name w:val="Figure text"/>
    <w:basedOn w:val="Normal"/>
    <w:link w:val="FiguretextChar"/>
    <w:qFormat/>
    <w:rsid w:val="0031054F"/>
    <w:pPr>
      <w:autoSpaceDE w:val="0"/>
      <w:autoSpaceDN w:val="0"/>
      <w:adjustRightInd w:val="0"/>
      <w:textAlignment w:val="center"/>
    </w:pPr>
    <w:rPr>
      <w:rFonts w:ascii="Calibri" w:eastAsia="Calibri" w:hAnsi="Calibri"/>
      <w:color w:val="4D4F53"/>
      <w:sz w:val="18"/>
      <w:szCs w:val="24"/>
      <w:lang w:val="en-GB"/>
    </w:rPr>
  </w:style>
  <w:style w:type="character" w:customStyle="1" w:styleId="FiguretextChar">
    <w:name w:val="Figure text Char"/>
    <w:link w:val="Figuretext"/>
    <w:rsid w:val="0031054F"/>
    <w:rPr>
      <w:rFonts w:ascii="Calibri" w:eastAsia="Calibri" w:hAnsi="Calibri" w:cs="Times New Roman"/>
      <w:color w:val="4D4F53"/>
      <w:sz w:val="18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310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10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54F"/>
    <w:rPr>
      <w:rFonts w:ascii="Arial" w:eastAsia="Times New Roman" w:hAnsi="Arial" w:cs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10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54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54F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54F"/>
    <w:rPr>
      <w:rFonts w:ascii="Arial" w:eastAsia="Times New Roman" w:hAnsi="Arial" w:cs="Times New Roman"/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31054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1054F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1B84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1B84"/>
    <w:rPr>
      <w:rFonts w:ascii="Arial" w:eastAsia="Times New Roman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91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4D26-CE19-4475-92AD-675B7390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4574</Words>
  <Characters>25161</Characters>
  <Application>Microsoft Office Word</Application>
  <DocSecurity>4</DocSecurity>
  <Lines>209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DGOS</Company>
  <LinksUpToDate>false</LinksUpToDate>
  <CharactersWithSpaces>29676</CharactersWithSpaces>
  <SharedDoc>false</SharedDoc>
  <HLinks>
    <vt:vector size="360" baseType="variant">
      <vt:variant>
        <vt:i4>2883689</vt:i4>
      </vt:variant>
      <vt:variant>
        <vt:i4>354</vt:i4>
      </vt:variant>
      <vt:variant>
        <vt:i4>0</vt:i4>
      </vt:variant>
      <vt:variant>
        <vt:i4>5</vt:i4>
      </vt:variant>
      <vt:variant>
        <vt:lpwstr>http://carto-ets.atih.sante.fr/</vt:lpwstr>
      </vt:variant>
      <vt:variant>
        <vt:lpwstr/>
      </vt:variant>
      <vt:variant>
        <vt:i4>3997816</vt:i4>
      </vt:variant>
      <vt:variant>
        <vt:i4>351</vt:i4>
      </vt:variant>
      <vt:variant>
        <vt:i4>0</vt:i4>
      </vt:variant>
      <vt:variant>
        <vt:i4>5</vt:i4>
      </vt:variant>
      <vt:variant>
        <vt:lpwstr>http://cartographie.atih.sante.fr/</vt:lpwstr>
      </vt:variant>
      <vt:variant>
        <vt:lpwstr/>
      </vt:variant>
      <vt:variant>
        <vt:i4>1966141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_Toc381191610</vt:lpwstr>
      </vt:variant>
      <vt:variant>
        <vt:i4>2031677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_Toc381191609</vt:lpwstr>
      </vt:variant>
      <vt:variant>
        <vt:i4>2031677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_Toc381191608</vt:lpwstr>
      </vt:variant>
      <vt:variant>
        <vt:i4>2031677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_Toc381191607</vt:lpwstr>
      </vt:variant>
      <vt:variant>
        <vt:i4>2031677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_Toc381191606</vt:lpwstr>
      </vt:variant>
      <vt:variant>
        <vt:i4>2031677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_Toc381191605</vt:lpwstr>
      </vt:variant>
      <vt:variant>
        <vt:i4>2031677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_Toc381191604</vt:lpwstr>
      </vt:variant>
      <vt:variant>
        <vt:i4>2031677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_Toc381191603</vt:lpwstr>
      </vt:variant>
      <vt:variant>
        <vt:i4>2031677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_Toc381191602</vt:lpwstr>
      </vt:variant>
      <vt:variant>
        <vt:i4>2031677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_Toc381191601</vt:lpwstr>
      </vt:variant>
      <vt:variant>
        <vt:i4>2031677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_Toc381191600</vt:lpwstr>
      </vt:variant>
      <vt:variant>
        <vt:i4>1441854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_Toc381191599</vt:lpwstr>
      </vt:variant>
      <vt:variant>
        <vt:i4>1441854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_Toc381191598</vt:lpwstr>
      </vt:variant>
      <vt:variant>
        <vt:i4>1441854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_Toc381191597</vt:lpwstr>
      </vt:variant>
      <vt:variant>
        <vt:i4>1441854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_Toc381191596</vt:lpwstr>
      </vt:variant>
      <vt:variant>
        <vt:i4>1441854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_Toc381191595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_Toc381191594</vt:lpwstr>
      </vt:variant>
      <vt:variant>
        <vt:i4>1441854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_Toc381191593</vt:lpwstr>
      </vt:variant>
      <vt:variant>
        <vt:i4>1441854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_Toc381191592</vt:lpwstr>
      </vt:variant>
      <vt:variant>
        <vt:i4>1441854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_Toc381191591</vt:lpwstr>
      </vt:variant>
      <vt:variant>
        <vt:i4>1441854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_Toc381191590</vt:lpwstr>
      </vt:variant>
      <vt:variant>
        <vt:i4>1507390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_Toc381191589</vt:lpwstr>
      </vt:variant>
      <vt:variant>
        <vt:i4>1507390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_Toc381191588</vt:lpwstr>
      </vt:variant>
      <vt:variant>
        <vt:i4>1507390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_Toc381191587</vt:lpwstr>
      </vt:variant>
      <vt:variant>
        <vt:i4>1507390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_Toc381191586</vt:lpwstr>
      </vt:variant>
      <vt:variant>
        <vt:i4>1507390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_Toc381191585</vt:lpwstr>
      </vt:variant>
      <vt:variant>
        <vt:i4>1507390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_Toc381191584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_Toc381191583</vt:lpwstr>
      </vt:variant>
      <vt:variant>
        <vt:i4>1507390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_Toc381191582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_Toc381191581</vt:lpwstr>
      </vt:variant>
      <vt:variant>
        <vt:i4>1507390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_Toc381191580</vt:lpwstr>
      </vt:variant>
      <vt:variant>
        <vt:i4>1572926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_Toc381191579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_Toc381191578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_Toc381191577</vt:lpwstr>
      </vt:variant>
      <vt:variant>
        <vt:i4>1572926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_Toc381191576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_Toc381191575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_Toc381191574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_Toc381191573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_Toc381191572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_Toc381191571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_Toc381191570</vt:lpwstr>
      </vt:variant>
      <vt:variant>
        <vt:i4>1638462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_Toc381191569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_Toc381191568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_Toc381191567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_Toc381191566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_Toc381191565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_Toc381191564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_Toc381191563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_Toc381191562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_Toc381191561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_Toc381191560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_Toc381191559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_Toc381191558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_Toc381191557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_Toc381191556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_Toc381191555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_Toc381191554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_Toc381191553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mtribodet</dc:creator>
  <cp:lastModifiedBy>Config</cp:lastModifiedBy>
  <cp:revision>2</cp:revision>
  <cp:lastPrinted>2022-03-07T13:01:00Z</cp:lastPrinted>
  <dcterms:created xsi:type="dcterms:W3CDTF">2022-03-10T14:11:00Z</dcterms:created>
  <dcterms:modified xsi:type="dcterms:W3CDTF">2022-03-10T14:11:00Z</dcterms:modified>
</cp:coreProperties>
</file>