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5E" w:rsidRPr="00B63199" w:rsidRDefault="009B3E5E" w:rsidP="00F7125A">
      <w:pPr>
        <w:pStyle w:val="En-tte"/>
        <w:tabs>
          <w:tab w:val="clear" w:pos="4536"/>
          <w:tab w:val="clear" w:pos="9072"/>
          <w:tab w:val="left" w:pos="91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F7125A">
      <w:pPr>
        <w:pStyle w:val="En-tte"/>
        <w:tabs>
          <w:tab w:val="clear" w:pos="4536"/>
          <w:tab w:val="clear" w:pos="9072"/>
          <w:tab w:val="left" w:pos="91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15DB2" w:rsidRPr="00615DB2" w:rsidRDefault="00CB63B4" w:rsidP="00615DB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615DB2">
        <w:rPr>
          <w:rFonts w:asciiTheme="minorHAnsi" w:hAnsiTheme="minorHAnsi" w:cstheme="minorHAnsi"/>
          <w:b/>
          <w:color w:val="auto"/>
          <w:szCs w:val="22"/>
        </w:rPr>
        <w:t>Appel à projet</w:t>
      </w:r>
      <w:r w:rsidR="00615DB2" w:rsidRPr="00615DB2">
        <w:rPr>
          <w:rFonts w:asciiTheme="minorHAnsi" w:hAnsiTheme="minorHAnsi" w:cstheme="minorHAnsi"/>
          <w:b/>
          <w:color w:val="auto"/>
          <w:szCs w:val="22"/>
        </w:rPr>
        <w:t>s</w:t>
      </w:r>
    </w:p>
    <w:p w:rsidR="00821FFD" w:rsidRPr="00615DB2" w:rsidRDefault="00727F8E" w:rsidP="00615DB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Poursuite de la mise en œuvre</w:t>
      </w:r>
      <w:r w:rsidR="00E55AC8">
        <w:rPr>
          <w:rFonts w:asciiTheme="minorHAnsi" w:hAnsiTheme="minorHAnsi" w:cstheme="minorHAnsi"/>
          <w:b/>
          <w:color w:val="auto"/>
          <w:szCs w:val="22"/>
        </w:rPr>
        <w:t xml:space="preserve"> de</w:t>
      </w:r>
      <w:r>
        <w:rPr>
          <w:rFonts w:asciiTheme="minorHAnsi" w:hAnsiTheme="minorHAnsi" w:cstheme="minorHAnsi"/>
          <w:b/>
          <w:color w:val="auto"/>
          <w:szCs w:val="22"/>
        </w:rPr>
        <w:t xml:space="preserve"> plans gouvernementaux </w:t>
      </w:r>
      <w:r w:rsidR="00E55AC8" w:rsidRPr="00E55AC8">
        <w:rPr>
          <w:rFonts w:asciiTheme="minorHAnsi" w:hAnsiTheme="minorHAnsi" w:cstheme="minorHAnsi"/>
          <w:b/>
          <w:color w:val="auto"/>
          <w:szCs w:val="22"/>
        </w:rPr>
        <w:t xml:space="preserve">pour la </w:t>
      </w:r>
      <w:r>
        <w:rPr>
          <w:rFonts w:asciiTheme="minorHAnsi" w:hAnsiTheme="minorHAnsi" w:cstheme="minorHAnsi"/>
          <w:b/>
          <w:color w:val="auto"/>
          <w:szCs w:val="22"/>
        </w:rPr>
        <w:t>psychiatrie</w:t>
      </w:r>
      <w:r w:rsidR="005D64B6">
        <w:rPr>
          <w:rFonts w:asciiTheme="minorHAnsi" w:hAnsiTheme="minorHAnsi" w:cstheme="minorHAnsi"/>
          <w:b/>
          <w:color w:val="auto"/>
          <w:szCs w:val="22"/>
        </w:rPr>
        <w:t xml:space="preserve"> - 2024</w:t>
      </w:r>
    </w:p>
    <w:p w:rsidR="00821FFD" w:rsidRPr="00B63199" w:rsidRDefault="00821FFD" w:rsidP="00F712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83A8A" w:rsidRPr="00417549" w:rsidRDefault="00B63199" w:rsidP="00F7125A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color w:val="000000"/>
        </w:rPr>
      </w:pPr>
      <w:r w:rsidRPr="00417549">
        <w:rPr>
          <w:rFonts w:cstheme="minorHAnsi"/>
          <w:b/>
          <w:color w:val="000000"/>
        </w:rPr>
        <w:t>C</w:t>
      </w:r>
      <w:r w:rsidR="00583A8A" w:rsidRPr="00417549">
        <w:rPr>
          <w:rFonts w:cstheme="minorHAnsi"/>
          <w:b/>
          <w:color w:val="000000"/>
        </w:rPr>
        <w:t xml:space="preserve">ontexte </w:t>
      </w:r>
    </w:p>
    <w:p w:rsidR="00727F8E" w:rsidRDefault="00727F8E" w:rsidP="00727F8E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La </w:t>
      </w:r>
      <w:r w:rsidR="00E55AC8">
        <w:rPr>
          <w:rFonts w:cstheme="minorHAnsi"/>
          <w:color w:val="000000"/>
        </w:rPr>
        <w:t>circulaire</w:t>
      </w:r>
      <w:r w:rsidRPr="00727F8E">
        <w:rPr>
          <w:rFonts w:cstheme="minorHAnsi"/>
          <w:color w:val="000000"/>
        </w:rPr>
        <w:t xml:space="preserve"> N° DGOS/FIP1/2024/95 du 13 juin 2024</w:t>
      </w:r>
      <w:r>
        <w:rPr>
          <w:rFonts w:cstheme="minorHAnsi"/>
          <w:color w:val="000000"/>
        </w:rPr>
        <w:t>,</w:t>
      </w:r>
      <w:r w:rsidRPr="00727F8E">
        <w:rPr>
          <w:rFonts w:cstheme="minorHAnsi"/>
          <w:color w:val="000000"/>
        </w:rPr>
        <w:t xml:space="preserve"> relative à la première campagne tarifaire</w:t>
      </w:r>
      <w:r>
        <w:rPr>
          <w:rFonts w:cstheme="minorHAnsi"/>
          <w:color w:val="000000"/>
        </w:rPr>
        <w:t xml:space="preserve"> </w:t>
      </w:r>
      <w:r w:rsidRPr="00727F8E">
        <w:rPr>
          <w:rFonts w:cstheme="minorHAnsi"/>
          <w:color w:val="000000"/>
        </w:rPr>
        <w:t>et budgétaire 2024 des établissements de santé</w:t>
      </w:r>
      <w:r w:rsidR="005F7859">
        <w:rPr>
          <w:rFonts w:cstheme="minorHAnsi"/>
          <w:color w:val="000000"/>
        </w:rPr>
        <w:t>, affirme</w:t>
      </w:r>
      <w:r w:rsidR="00E55AC8">
        <w:rPr>
          <w:rFonts w:cstheme="minorHAnsi"/>
          <w:color w:val="000000"/>
        </w:rPr>
        <w:t xml:space="preserve"> la nécessité de poursuivre</w:t>
      </w:r>
      <w:r>
        <w:rPr>
          <w:rFonts w:cstheme="minorHAnsi"/>
          <w:color w:val="000000"/>
        </w:rPr>
        <w:t xml:space="preserve"> </w:t>
      </w:r>
      <w:r w:rsidR="00E55AC8">
        <w:rPr>
          <w:rFonts w:cstheme="minorHAnsi"/>
          <w:color w:val="000000"/>
        </w:rPr>
        <w:t>les</w:t>
      </w:r>
      <w:r>
        <w:rPr>
          <w:rFonts w:cstheme="minorHAnsi"/>
          <w:color w:val="000000"/>
        </w:rPr>
        <w:t xml:space="preserve"> plans gouvernementaux </w:t>
      </w:r>
      <w:r w:rsidR="00E55AC8">
        <w:rPr>
          <w:rFonts w:cstheme="minorHAnsi"/>
          <w:color w:val="000000"/>
        </w:rPr>
        <w:t>initi</w:t>
      </w:r>
      <w:r w:rsidR="00D27DFD">
        <w:rPr>
          <w:rFonts w:cstheme="minorHAnsi"/>
          <w:color w:val="000000"/>
        </w:rPr>
        <w:t xml:space="preserve">és lors des années précédentes. Parmi ces plans, figurent les Assises de la santé mentale, le </w:t>
      </w:r>
      <w:r w:rsidR="00E55AC8">
        <w:rPr>
          <w:rFonts w:cstheme="minorHAnsi"/>
          <w:color w:val="000000"/>
        </w:rPr>
        <w:t>Plan de réduction des pratiques d’isolement et de contention,</w:t>
      </w:r>
      <w:r w:rsidR="00D27DFD">
        <w:rPr>
          <w:rFonts w:cstheme="minorHAnsi"/>
          <w:color w:val="000000"/>
        </w:rPr>
        <w:t xml:space="preserve"> le </w:t>
      </w:r>
      <w:r w:rsidR="00E55AC8">
        <w:rPr>
          <w:rFonts w:cstheme="minorHAnsi"/>
          <w:color w:val="000000"/>
        </w:rPr>
        <w:t xml:space="preserve"> Pacte des solidarités</w:t>
      </w:r>
      <w:r w:rsidR="00D27DFD">
        <w:rPr>
          <w:rFonts w:cstheme="minorHAnsi"/>
          <w:color w:val="000000"/>
        </w:rPr>
        <w:t>, les Plans de lutte contre les violences faites aux femmes et aux enfants</w:t>
      </w:r>
      <w:r w:rsidR="00E55AC8">
        <w:rPr>
          <w:rFonts w:cstheme="minorHAnsi"/>
          <w:color w:val="000000"/>
        </w:rPr>
        <w:t>.</w:t>
      </w:r>
      <w:r w:rsidR="00EA70AF">
        <w:rPr>
          <w:rFonts w:cstheme="minorHAnsi"/>
          <w:color w:val="000000"/>
        </w:rPr>
        <w:t xml:space="preserve"> </w:t>
      </w:r>
      <w:r w:rsidR="00580F5F">
        <w:rPr>
          <w:rFonts w:cstheme="minorHAnsi"/>
          <w:color w:val="000000"/>
        </w:rPr>
        <w:t xml:space="preserve">Les crédits alloués pour l’ensemble des mesures relatives à la psychiatrie intégrées à ces plans, </w:t>
      </w:r>
      <w:r w:rsidR="00324D87">
        <w:rPr>
          <w:rFonts w:cstheme="minorHAnsi"/>
          <w:color w:val="000000"/>
        </w:rPr>
        <w:t>s’élèvent à 1,3</w:t>
      </w:r>
      <w:r w:rsidR="00580F5F">
        <w:rPr>
          <w:rFonts w:cstheme="minorHAnsi"/>
          <w:color w:val="000000"/>
        </w:rPr>
        <w:t xml:space="preserve"> millions d’euros pour la région PACA.</w:t>
      </w:r>
    </w:p>
    <w:p w:rsidR="004F0596" w:rsidRDefault="004F0596" w:rsidP="004F0596">
      <w:pPr>
        <w:pStyle w:val="Paragraphedeliste"/>
        <w:jc w:val="both"/>
        <w:rPr>
          <w:rFonts w:cstheme="minorHAnsi"/>
          <w:b/>
          <w:color w:val="000000"/>
        </w:rPr>
      </w:pPr>
    </w:p>
    <w:p w:rsidR="003F4DCA" w:rsidRPr="003F4DCA" w:rsidRDefault="003F4DCA" w:rsidP="003F4DCA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color w:val="000000"/>
        </w:rPr>
      </w:pPr>
      <w:r w:rsidRPr="003F4DCA">
        <w:rPr>
          <w:rFonts w:cstheme="minorHAnsi"/>
          <w:b/>
          <w:color w:val="000000"/>
        </w:rPr>
        <w:t>Objectifs</w:t>
      </w:r>
    </w:p>
    <w:p w:rsidR="00E55AC8" w:rsidRPr="003F4DCA" w:rsidRDefault="00E55AC8" w:rsidP="003F4DCA">
      <w:pPr>
        <w:jc w:val="both"/>
        <w:rPr>
          <w:rFonts w:cstheme="minorHAnsi"/>
          <w:color w:val="000000"/>
        </w:rPr>
      </w:pPr>
      <w:r w:rsidRPr="003F4DCA">
        <w:rPr>
          <w:rFonts w:cstheme="minorHAnsi"/>
          <w:color w:val="000000"/>
        </w:rPr>
        <w:t xml:space="preserve">Les mesures </w:t>
      </w:r>
      <w:r w:rsidR="00580F5F">
        <w:rPr>
          <w:rFonts w:cstheme="minorHAnsi"/>
          <w:color w:val="000000"/>
        </w:rPr>
        <w:t>relatives</w:t>
      </w:r>
      <w:r w:rsidRPr="003F4DCA">
        <w:rPr>
          <w:rFonts w:cstheme="minorHAnsi"/>
          <w:color w:val="000000"/>
        </w:rPr>
        <w:t xml:space="preserve"> à la psychiatrie sont précisées en annexe 8 de </w:t>
      </w:r>
      <w:r w:rsidR="00580F5F">
        <w:rPr>
          <w:rFonts w:cstheme="minorHAnsi"/>
          <w:color w:val="000000"/>
        </w:rPr>
        <w:t>la</w:t>
      </w:r>
      <w:r w:rsidRPr="003F4DCA">
        <w:rPr>
          <w:rFonts w:cstheme="minorHAnsi"/>
          <w:color w:val="000000"/>
        </w:rPr>
        <w:t xml:space="preserve"> circulaire</w:t>
      </w:r>
      <w:r w:rsidR="00580F5F">
        <w:rPr>
          <w:rFonts w:cstheme="minorHAnsi"/>
          <w:color w:val="000000"/>
        </w:rPr>
        <w:t xml:space="preserve"> précédemment citée</w:t>
      </w:r>
      <w:r w:rsidRPr="003F4DCA">
        <w:rPr>
          <w:rFonts w:cstheme="minorHAnsi"/>
          <w:color w:val="000000"/>
        </w:rPr>
        <w:t xml:space="preserve">. </w:t>
      </w:r>
      <w:r w:rsidR="009C2178" w:rsidRPr="003F4DCA">
        <w:rPr>
          <w:rFonts w:cstheme="minorHAnsi"/>
          <w:color w:val="000000"/>
        </w:rPr>
        <w:t>E</w:t>
      </w:r>
      <w:r w:rsidR="001C3257" w:rsidRPr="003F4DCA">
        <w:rPr>
          <w:rFonts w:cstheme="minorHAnsi"/>
          <w:color w:val="000000"/>
        </w:rPr>
        <w:t>lles sont destinées à favoriser les actions suivantes :</w:t>
      </w:r>
    </w:p>
    <w:p w:rsidR="0048015F" w:rsidRPr="00F14A3D" w:rsidRDefault="00165262" w:rsidP="00165262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F14A3D">
        <w:rPr>
          <w:rFonts w:cstheme="minorHAnsi"/>
          <w:b/>
          <w:color w:val="000000"/>
        </w:rPr>
        <w:t>Renforcement des centres médico-psychologiques</w:t>
      </w:r>
    </w:p>
    <w:p w:rsidR="00165262" w:rsidRPr="0048015F" w:rsidRDefault="00165262" w:rsidP="0048015F">
      <w:pPr>
        <w:jc w:val="both"/>
        <w:rPr>
          <w:rFonts w:cstheme="minorHAnsi"/>
          <w:color w:val="000000"/>
        </w:rPr>
      </w:pPr>
      <w:r w:rsidRPr="0048015F">
        <w:rPr>
          <w:rFonts w:cstheme="minorHAnsi"/>
          <w:color w:val="000000"/>
        </w:rPr>
        <w:t xml:space="preserve">L’objectif est d’augmenter le temps de personnel non médical (psychologues notamment), pour aider ces structures à </w:t>
      </w:r>
      <w:r w:rsidR="006E2881">
        <w:rPr>
          <w:rFonts w:cstheme="minorHAnsi"/>
          <w:color w:val="000000"/>
        </w:rPr>
        <w:t xml:space="preserve">continuer de </w:t>
      </w:r>
      <w:r w:rsidRPr="0048015F">
        <w:rPr>
          <w:rFonts w:cstheme="minorHAnsi"/>
          <w:color w:val="000000"/>
        </w:rPr>
        <w:t>répondre à leurs missions d’accessibilité et de proximité.</w:t>
      </w:r>
    </w:p>
    <w:p w:rsidR="0048015F" w:rsidRPr="00F14A3D" w:rsidRDefault="009C2178" w:rsidP="00165262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F14A3D">
        <w:rPr>
          <w:rFonts w:cstheme="minorHAnsi"/>
          <w:b/>
          <w:color w:val="000000"/>
        </w:rPr>
        <w:t>Renforcement de l’</w:t>
      </w:r>
      <w:r w:rsidR="00F14A3D" w:rsidRPr="00F14A3D">
        <w:rPr>
          <w:rFonts w:cstheme="minorHAnsi"/>
          <w:b/>
          <w:color w:val="000000"/>
        </w:rPr>
        <w:t>aller-</w:t>
      </w:r>
      <w:r w:rsidRPr="00F14A3D">
        <w:rPr>
          <w:rFonts w:cstheme="minorHAnsi"/>
          <w:b/>
          <w:color w:val="000000"/>
        </w:rPr>
        <w:t>vers en psychiatrie de la personne âgée</w:t>
      </w:r>
    </w:p>
    <w:p w:rsidR="00165262" w:rsidRPr="0048015F" w:rsidRDefault="009C2178" w:rsidP="0048015F">
      <w:pPr>
        <w:jc w:val="both"/>
        <w:rPr>
          <w:rFonts w:cstheme="minorHAnsi"/>
          <w:color w:val="000000"/>
        </w:rPr>
      </w:pPr>
      <w:r w:rsidRPr="0048015F">
        <w:rPr>
          <w:rFonts w:cstheme="minorHAnsi"/>
          <w:color w:val="000000"/>
        </w:rPr>
        <w:t xml:space="preserve">L’objectif est de répondre </w:t>
      </w:r>
      <w:r>
        <w:t>aux besoins spécifiques des personnes âgées présentant des troubles psychiques, ou souffrant de troubles cognitifs ou pathologies neurodégénératives associées</w:t>
      </w:r>
      <w:r w:rsidR="0048015F">
        <w:t xml:space="preserve"> à des troubles du comportement</w:t>
      </w:r>
      <w:r w:rsidR="00F14A3D">
        <w:t>, en particulier</w:t>
      </w:r>
      <w:r w:rsidR="004F0596">
        <w:t xml:space="preserve"> celles</w:t>
      </w:r>
      <w:r w:rsidR="00F14A3D">
        <w:t xml:space="preserve"> résidant en EHPAD. Ceci doit s’intégrer dans une collaboration territoriale associant les filières gériatriques, et l’offre de soins spécialisés pour les maladies </w:t>
      </w:r>
      <w:r w:rsidR="00324D87">
        <w:t>neurodégénératives</w:t>
      </w:r>
      <w:r w:rsidR="00F14A3D">
        <w:t>.</w:t>
      </w:r>
    </w:p>
    <w:p w:rsidR="0048015F" w:rsidRPr="00F14A3D" w:rsidRDefault="0048015F" w:rsidP="00165262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F14A3D">
        <w:rPr>
          <w:b/>
        </w:rPr>
        <w:t>Renfor</w:t>
      </w:r>
      <w:r w:rsidR="00F14A3D" w:rsidRPr="00F14A3D">
        <w:rPr>
          <w:b/>
        </w:rPr>
        <w:t>cement de l’aller-vers en psychiatrie-précarité</w:t>
      </w:r>
    </w:p>
    <w:p w:rsidR="0048015F" w:rsidRDefault="00F14A3D" w:rsidP="00F14A3D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L’objectif est de doter la région d’une coordination régionale des équipes mobiles de psychiatrie-précarité, et d’améliorer le maillage territorial de cette offre, par une meilleure structuration notamment.</w:t>
      </w:r>
      <w:bookmarkStart w:id="0" w:name="_GoBack"/>
      <w:bookmarkEnd w:id="0"/>
    </w:p>
    <w:p w:rsidR="00F14A3D" w:rsidRPr="00F14A3D" w:rsidRDefault="00165262" w:rsidP="00165262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F14A3D">
        <w:rPr>
          <w:rFonts w:cstheme="minorHAnsi"/>
          <w:b/>
          <w:color w:val="000000"/>
        </w:rPr>
        <w:t>Accompagnement de la réforme du cadre juridique des mesures d’isolement et de contention</w:t>
      </w:r>
      <w:r w:rsidRPr="00165262">
        <w:rPr>
          <w:rFonts w:cstheme="minorHAnsi"/>
          <w:color w:val="000000"/>
        </w:rPr>
        <w:t xml:space="preserve"> </w:t>
      </w:r>
      <w:r w:rsidRPr="00F14A3D">
        <w:rPr>
          <w:rFonts w:cstheme="minorHAnsi"/>
          <w:b/>
          <w:color w:val="000000"/>
        </w:rPr>
        <w:t>en soins sans consentement</w:t>
      </w:r>
    </w:p>
    <w:p w:rsidR="001C3257" w:rsidRPr="00F14A3D" w:rsidRDefault="00165262" w:rsidP="00F14A3D">
      <w:pPr>
        <w:jc w:val="both"/>
        <w:rPr>
          <w:rFonts w:cstheme="minorHAnsi"/>
          <w:color w:val="000000"/>
        </w:rPr>
      </w:pPr>
      <w:r w:rsidRPr="00F14A3D">
        <w:rPr>
          <w:rFonts w:cstheme="minorHAnsi"/>
          <w:color w:val="000000"/>
        </w:rPr>
        <w:t>L’objectif est d’aider les équipes à adapter leurs organisations et pratiques au nouveau cadre qui accentue le contrôle sur les mesures de contention et d’isolement en soins sans consentement</w:t>
      </w:r>
      <w:r w:rsidR="009D4015">
        <w:rPr>
          <w:rFonts w:cstheme="minorHAnsi"/>
          <w:color w:val="000000"/>
        </w:rPr>
        <w:t>.</w:t>
      </w:r>
    </w:p>
    <w:p w:rsidR="00165262" w:rsidRPr="00D27DFD" w:rsidRDefault="005F7859" w:rsidP="005F7859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D27DFD">
        <w:rPr>
          <w:rFonts w:cstheme="minorHAnsi"/>
          <w:b/>
          <w:color w:val="000000"/>
        </w:rPr>
        <w:lastRenderedPageBreak/>
        <w:t xml:space="preserve">Renforcement des moyens dédiés à la prise en charge du </w:t>
      </w:r>
      <w:proofErr w:type="spellStart"/>
      <w:r w:rsidRPr="00D27DFD">
        <w:rPr>
          <w:rFonts w:cstheme="minorHAnsi"/>
          <w:b/>
          <w:color w:val="000000"/>
        </w:rPr>
        <w:t>psychotraumatisme</w:t>
      </w:r>
      <w:proofErr w:type="spellEnd"/>
    </w:p>
    <w:p w:rsidR="00D27DFD" w:rsidRPr="00D27DFD" w:rsidRDefault="00D27DFD" w:rsidP="00D27DFD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Reposant sur </w:t>
      </w:r>
      <w:r w:rsidRPr="00D27DFD">
        <w:rPr>
          <w:rFonts w:cstheme="minorHAnsi"/>
          <w:color w:val="000000"/>
        </w:rPr>
        <w:t xml:space="preserve">les centres régionaux du </w:t>
      </w:r>
      <w:proofErr w:type="spellStart"/>
      <w:r w:rsidRPr="00D27DFD">
        <w:rPr>
          <w:rFonts w:cstheme="minorHAnsi"/>
          <w:color w:val="000000"/>
        </w:rPr>
        <w:t>psychotraumatisme</w:t>
      </w:r>
      <w:proofErr w:type="spellEnd"/>
      <w:r w:rsidRPr="00D27DF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ou leurs antennes ; l’objectif est de</w:t>
      </w:r>
      <w:r w:rsidRPr="00D27DFD">
        <w:rPr>
          <w:rFonts w:cstheme="minorHAnsi"/>
          <w:color w:val="000000"/>
        </w:rPr>
        <w:t xml:space="preserve"> :</w:t>
      </w:r>
    </w:p>
    <w:p w:rsidR="00D27DFD" w:rsidRPr="00D27DFD" w:rsidRDefault="00D27DFD" w:rsidP="00D27DFD">
      <w:pPr>
        <w:jc w:val="both"/>
        <w:rPr>
          <w:rFonts w:cstheme="minorHAnsi"/>
          <w:color w:val="000000"/>
        </w:rPr>
      </w:pPr>
      <w:r w:rsidRPr="00D27DFD">
        <w:rPr>
          <w:rFonts w:cstheme="minorHAnsi"/>
          <w:color w:val="000000"/>
        </w:rPr>
        <w:t xml:space="preserve">- </w:t>
      </w:r>
      <w:r w:rsidR="004F0596">
        <w:rPr>
          <w:rFonts w:cstheme="minorHAnsi"/>
          <w:color w:val="000000"/>
        </w:rPr>
        <w:t>S</w:t>
      </w:r>
      <w:r w:rsidRPr="00D27DFD">
        <w:rPr>
          <w:rFonts w:cstheme="minorHAnsi"/>
          <w:color w:val="000000"/>
        </w:rPr>
        <w:t>tructurer ou renforcer un réseau de soins régional, par exemple avec un temps de chargé de mission dédié à la structuration régionale et l’animation territoriale des acteurs de soins (actions communes de type mutualisation de formations, formalisation et actualisation d’un annuaire des ressource</w:t>
      </w:r>
      <w:r w:rsidR="004F0596">
        <w:rPr>
          <w:rFonts w:cstheme="minorHAnsi"/>
          <w:color w:val="000000"/>
        </w:rPr>
        <w:t>s, coordination des antennes…)</w:t>
      </w:r>
    </w:p>
    <w:p w:rsidR="00D27DFD" w:rsidRDefault="00D27DFD" w:rsidP="00D27DFD">
      <w:pPr>
        <w:jc w:val="both"/>
        <w:rPr>
          <w:rFonts w:cstheme="minorHAnsi"/>
          <w:color w:val="000000"/>
        </w:rPr>
      </w:pPr>
      <w:r w:rsidRPr="00D27DFD">
        <w:rPr>
          <w:rFonts w:cstheme="minorHAnsi"/>
          <w:color w:val="000000"/>
        </w:rPr>
        <w:t xml:space="preserve">- </w:t>
      </w:r>
      <w:r w:rsidR="004F0596">
        <w:rPr>
          <w:rFonts w:cstheme="minorHAnsi"/>
          <w:color w:val="000000"/>
        </w:rPr>
        <w:t>Ou r</w:t>
      </w:r>
      <w:r w:rsidRPr="00D27DFD">
        <w:rPr>
          <w:rFonts w:cstheme="minorHAnsi"/>
          <w:color w:val="000000"/>
        </w:rPr>
        <w:t>enforcer</w:t>
      </w:r>
      <w:r w:rsidR="00C45B58">
        <w:rPr>
          <w:rFonts w:cstheme="minorHAnsi"/>
          <w:color w:val="000000"/>
        </w:rPr>
        <w:t xml:space="preserve"> des structures</w:t>
      </w:r>
      <w:r w:rsidRPr="00D27DFD">
        <w:rPr>
          <w:rFonts w:cstheme="minorHAnsi"/>
          <w:color w:val="000000"/>
        </w:rPr>
        <w:t xml:space="preserve"> </w:t>
      </w:r>
      <w:r w:rsidR="00835842">
        <w:rPr>
          <w:rFonts w:cstheme="minorHAnsi"/>
          <w:color w:val="000000"/>
        </w:rPr>
        <w:t>en</w:t>
      </w:r>
      <w:r w:rsidRPr="00D27DFD">
        <w:rPr>
          <w:rFonts w:cstheme="minorHAnsi"/>
          <w:color w:val="000000"/>
        </w:rPr>
        <w:t xml:space="preserve"> personnel</w:t>
      </w:r>
      <w:r w:rsidR="00C45B58">
        <w:rPr>
          <w:rFonts w:cstheme="minorHAnsi"/>
          <w:color w:val="000000"/>
        </w:rPr>
        <w:t>,</w:t>
      </w:r>
      <w:r w:rsidRPr="00D27DFD">
        <w:rPr>
          <w:rFonts w:cstheme="minorHAnsi"/>
          <w:color w:val="000000"/>
        </w:rPr>
        <w:t xml:space="preserve"> </w:t>
      </w:r>
      <w:r w:rsidR="004F0596">
        <w:rPr>
          <w:rFonts w:cstheme="minorHAnsi"/>
          <w:color w:val="000000"/>
        </w:rPr>
        <w:t>avec par exemple un</w:t>
      </w:r>
      <w:r w:rsidRPr="00D27DFD">
        <w:rPr>
          <w:rFonts w:cstheme="minorHAnsi"/>
          <w:color w:val="000000"/>
        </w:rPr>
        <w:t xml:space="preserve"> temps de psychologue ou d’IDE afin de développer la formation des acteurs, déployer les antennes territoriales et proposer des modules d’éducation thérapeutique.</w:t>
      </w:r>
    </w:p>
    <w:p w:rsidR="00963F48" w:rsidRPr="004F0596" w:rsidRDefault="00963F48" w:rsidP="004F0596">
      <w:pPr>
        <w:jc w:val="both"/>
        <w:rPr>
          <w:rFonts w:cstheme="minorHAnsi"/>
          <w:b/>
        </w:rPr>
      </w:pPr>
    </w:p>
    <w:p w:rsidR="00583A8A" w:rsidRPr="00B63199" w:rsidRDefault="00B63199" w:rsidP="00F7125A">
      <w:pPr>
        <w:pStyle w:val="Paragraphedeliste"/>
        <w:numPr>
          <w:ilvl w:val="0"/>
          <w:numId w:val="3"/>
        </w:numPr>
        <w:jc w:val="both"/>
        <w:rPr>
          <w:rFonts w:cstheme="minorHAnsi"/>
          <w:b/>
        </w:rPr>
      </w:pPr>
      <w:r w:rsidRPr="00B63199">
        <w:rPr>
          <w:rFonts w:cstheme="minorHAnsi"/>
          <w:b/>
        </w:rPr>
        <w:t>R</w:t>
      </w:r>
      <w:r w:rsidR="00583A8A" w:rsidRPr="00B63199">
        <w:rPr>
          <w:rFonts w:cstheme="minorHAnsi"/>
          <w:b/>
        </w:rPr>
        <w:t xml:space="preserve">éponses à l’AAP et calendrier prévisionnel </w:t>
      </w:r>
    </w:p>
    <w:p w:rsidR="00340D09" w:rsidRDefault="00340D09" w:rsidP="00F7125A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821FFD" w:rsidRPr="00B63199">
        <w:rPr>
          <w:rFonts w:cstheme="minorHAnsi"/>
        </w:rPr>
        <w:t xml:space="preserve">es établissements souhaitant </w:t>
      </w:r>
      <w:r>
        <w:rPr>
          <w:rFonts w:cstheme="minorHAnsi"/>
        </w:rPr>
        <w:t xml:space="preserve">candidater doivent remplir le dossier de </w:t>
      </w:r>
      <w:r w:rsidR="00E12394">
        <w:rPr>
          <w:rFonts w:cstheme="minorHAnsi"/>
        </w:rPr>
        <w:t xml:space="preserve">réponse de </w:t>
      </w:r>
      <w:r>
        <w:rPr>
          <w:rFonts w:cstheme="minorHAnsi"/>
        </w:rPr>
        <w:t xml:space="preserve">4 pages </w:t>
      </w:r>
      <w:r w:rsidR="00E12394">
        <w:rPr>
          <w:rFonts w:cstheme="minorHAnsi"/>
        </w:rPr>
        <w:t>joint</w:t>
      </w:r>
      <w:r>
        <w:rPr>
          <w:rFonts w:cstheme="minorHAnsi"/>
        </w:rPr>
        <w:t xml:space="preserve">. Ils ne pourront déposer au maximum qu’un seul dossier par </w:t>
      </w:r>
      <w:r w:rsidR="005D64B6">
        <w:rPr>
          <w:rFonts w:cstheme="minorHAnsi"/>
        </w:rPr>
        <w:t>mesure</w:t>
      </w:r>
      <w:r>
        <w:rPr>
          <w:rFonts w:cstheme="minorHAnsi"/>
        </w:rPr>
        <w:t xml:space="preserve"> et par établissement.</w:t>
      </w:r>
    </w:p>
    <w:p w:rsidR="00340D09" w:rsidRDefault="00FE50AB" w:rsidP="00F7125A">
      <w:pPr>
        <w:jc w:val="both"/>
        <w:rPr>
          <w:rFonts w:cstheme="minorHAnsi"/>
        </w:rPr>
      </w:pPr>
      <w:r>
        <w:rPr>
          <w:rFonts w:cstheme="minorHAnsi"/>
        </w:rPr>
        <w:t>Dans le contexte de tension sur les recrutements, le caractère rapidement opérationnel des projets devra constituer un point d’attention.</w:t>
      </w:r>
    </w:p>
    <w:p w:rsidR="00340D09" w:rsidRDefault="00FE50AB" w:rsidP="00F7125A">
      <w:pPr>
        <w:jc w:val="both"/>
        <w:rPr>
          <w:rFonts w:cstheme="minorHAnsi"/>
        </w:rPr>
      </w:pPr>
      <w:r>
        <w:rPr>
          <w:rFonts w:cstheme="minorHAnsi"/>
        </w:rPr>
        <w:t>Les dossiers</w:t>
      </w:r>
      <w:r w:rsidR="00340D09">
        <w:rPr>
          <w:rFonts w:cstheme="minorHAnsi"/>
        </w:rPr>
        <w:t xml:space="preserve"> doiven</w:t>
      </w:r>
      <w:r w:rsidR="00821FFD" w:rsidRPr="00B63199">
        <w:rPr>
          <w:rFonts w:cstheme="minorHAnsi"/>
        </w:rPr>
        <w:t xml:space="preserve">t </w:t>
      </w:r>
      <w:r w:rsidR="00340D09">
        <w:rPr>
          <w:rFonts w:cstheme="minorHAnsi"/>
        </w:rPr>
        <w:t xml:space="preserve">impérativement </w:t>
      </w:r>
      <w:r w:rsidR="00821FFD" w:rsidRPr="00B63199">
        <w:rPr>
          <w:rFonts w:cstheme="minorHAnsi"/>
        </w:rPr>
        <w:t xml:space="preserve">être déposés </w:t>
      </w:r>
      <w:r w:rsidR="00821FFD" w:rsidRPr="00B63199">
        <w:rPr>
          <w:rFonts w:cstheme="minorHAnsi"/>
          <w:b/>
        </w:rPr>
        <w:t>avant le </w:t>
      </w:r>
      <w:r w:rsidR="00340D09">
        <w:rPr>
          <w:rFonts w:cstheme="minorHAnsi"/>
          <w:b/>
        </w:rPr>
        <w:t>23</w:t>
      </w:r>
      <w:r w:rsidR="005041EA">
        <w:rPr>
          <w:rFonts w:cstheme="minorHAnsi"/>
          <w:b/>
        </w:rPr>
        <w:t>/</w:t>
      </w:r>
      <w:r w:rsidR="00340D09">
        <w:rPr>
          <w:rFonts w:cstheme="minorHAnsi"/>
          <w:b/>
        </w:rPr>
        <w:t>09</w:t>
      </w:r>
      <w:r w:rsidR="005041EA">
        <w:rPr>
          <w:rFonts w:cstheme="minorHAnsi"/>
          <w:b/>
        </w:rPr>
        <w:t>/202</w:t>
      </w:r>
      <w:r w:rsidR="00340D09">
        <w:rPr>
          <w:rFonts w:cstheme="minorHAnsi"/>
          <w:b/>
        </w:rPr>
        <w:t>4 inclus</w:t>
      </w:r>
      <w:r w:rsidR="00821FFD" w:rsidRPr="00B63199">
        <w:rPr>
          <w:rFonts w:cstheme="minorHAnsi"/>
        </w:rPr>
        <w:t xml:space="preserve"> par mail à l’adresse suivante : </w:t>
      </w:r>
      <w:hyperlink r:id="rId7" w:history="1">
        <w:r w:rsidR="00821FFD" w:rsidRPr="00B63199">
          <w:rPr>
            <w:rStyle w:val="Lienhypertexte"/>
            <w:rFonts w:cstheme="minorHAnsi"/>
          </w:rPr>
          <w:t>ARS-PACA-DOS-DOH@ars.sante.fr</w:t>
        </w:r>
      </w:hyperlink>
      <w:r w:rsidR="00963F48">
        <w:rPr>
          <w:rFonts w:cstheme="minorHAnsi"/>
        </w:rPr>
        <w:t>, en précisant dans l’objet du mail qu’il s’agit de l’AAP « </w:t>
      </w:r>
      <w:r w:rsidR="005D64B6">
        <w:rPr>
          <w:rFonts w:cstheme="minorHAnsi"/>
        </w:rPr>
        <w:t>Plans gouvernementaux psychiatrie</w:t>
      </w:r>
      <w:r w:rsidR="00963F48">
        <w:rPr>
          <w:rFonts w:cstheme="minorHAnsi"/>
        </w:rPr>
        <w:t> ».</w:t>
      </w:r>
      <w:r w:rsidR="00821FFD" w:rsidRPr="00B63199">
        <w:rPr>
          <w:rFonts w:cstheme="minorHAnsi"/>
        </w:rPr>
        <w:t xml:space="preserve"> El</w:t>
      </w:r>
      <w:r w:rsidR="00261798">
        <w:rPr>
          <w:rFonts w:cstheme="minorHAnsi"/>
        </w:rPr>
        <w:t>les feront l’objet d’un examen par le jury régional.</w:t>
      </w:r>
    </w:p>
    <w:p w:rsidR="00C328C1" w:rsidRDefault="00C328C1" w:rsidP="00F7125A">
      <w:pPr>
        <w:jc w:val="both"/>
        <w:rPr>
          <w:rFonts w:cstheme="minorHAnsi"/>
          <w:b/>
        </w:rPr>
      </w:pPr>
    </w:p>
    <w:p w:rsidR="00821FFD" w:rsidRPr="00C328C1" w:rsidRDefault="00C328C1" w:rsidP="00F7125A">
      <w:pPr>
        <w:jc w:val="both"/>
        <w:rPr>
          <w:rFonts w:cstheme="minorHAnsi"/>
          <w:b/>
        </w:rPr>
      </w:pPr>
      <w:r w:rsidRPr="00C328C1">
        <w:rPr>
          <w:rFonts w:cstheme="minorHAnsi"/>
          <w:b/>
        </w:rPr>
        <w:t>Contacts pour plus d’informations :</w:t>
      </w:r>
    </w:p>
    <w:p w:rsidR="00C328C1" w:rsidRDefault="002E119F" w:rsidP="00F7125A">
      <w:pPr>
        <w:jc w:val="both"/>
        <w:rPr>
          <w:rFonts w:cstheme="minorHAnsi"/>
        </w:rPr>
      </w:pPr>
      <w:hyperlink r:id="rId8" w:history="1">
        <w:r w:rsidR="00C328C1" w:rsidRPr="00DA6EF5">
          <w:rPr>
            <w:rStyle w:val="Lienhypertexte"/>
            <w:rFonts w:cstheme="minorHAnsi"/>
          </w:rPr>
          <w:t>Guillaume.gaubert@ars.sante.fr</w:t>
        </w:r>
      </w:hyperlink>
      <w:r w:rsidR="00C328C1">
        <w:rPr>
          <w:rFonts w:cstheme="minorHAnsi"/>
        </w:rPr>
        <w:tab/>
        <w:t>Médecin référent pour la psychiatrie</w:t>
      </w:r>
    </w:p>
    <w:p w:rsidR="00821FFD" w:rsidRPr="00B63199" w:rsidRDefault="00821FFD" w:rsidP="00F7125A">
      <w:pPr>
        <w:jc w:val="both"/>
        <w:rPr>
          <w:rFonts w:cstheme="minorHAnsi"/>
        </w:rPr>
      </w:pPr>
    </w:p>
    <w:p w:rsidR="009B3E5E" w:rsidRPr="00B63199" w:rsidRDefault="009B3E5E" w:rsidP="00F7125A">
      <w:pPr>
        <w:pStyle w:val="En-tte"/>
        <w:tabs>
          <w:tab w:val="clear" w:pos="4536"/>
          <w:tab w:val="clear" w:pos="9072"/>
          <w:tab w:val="left" w:pos="91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</w:p>
    <w:p w:rsidR="009B3E5E" w:rsidRPr="00261798" w:rsidRDefault="009B3E5E" w:rsidP="00F7125A">
      <w:pPr>
        <w:pStyle w:val="En-tte"/>
        <w:tabs>
          <w:tab w:val="clear" w:pos="4536"/>
          <w:tab w:val="clear" w:pos="9072"/>
          <w:tab w:val="left" w:pos="915"/>
        </w:tabs>
        <w:spacing w:after="2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Pr="00B63199">
        <w:rPr>
          <w:rFonts w:asciiTheme="minorHAnsi" w:hAnsiTheme="minorHAnsi" w:cstheme="minorHAnsi"/>
          <w:sz w:val="22"/>
          <w:szCs w:val="22"/>
        </w:rPr>
        <w:tab/>
      </w:r>
    </w:p>
    <w:sectPr w:rsidR="009B3E5E" w:rsidRPr="00261798" w:rsidSect="005B6772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9F" w:rsidRDefault="002E119F" w:rsidP="009B3E5E">
      <w:pPr>
        <w:spacing w:after="0" w:line="240" w:lineRule="auto"/>
      </w:pPr>
      <w:r>
        <w:separator/>
      </w:r>
    </w:p>
  </w:endnote>
  <w:endnote w:type="continuationSeparator" w:id="0">
    <w:p w:rsidR="002E119F" w:rsidRDefault="002E119F" w:rsidP="009B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5E" w:rsidRPr="005355B3" w:rsidRDefault="009B3E5E" w:rsidP="009B3E5E">
    <w:pPr>
      <w:spacing w:after="0" w:line="240" w:lineRule="auto"/>
      <w:ind w:right="-286"/>
      <w:rPr>
        <w:color w:val="808080" w:themeColor="background1" w:themeShade="80"/>
        <w:sz w:val="14"/>
        <w:szCs w:val="14"/>
      </w:rPr>
    </w:pPr>
    <w:r w:rsidRPr="005355B3">
      <w:rPr>
        <w:color w:val="808080" w:themeColor="background1" w:themeShade="80"/>
        <w:sz w:val="14"/>
        <w:szCs w:val="14"/>
      </w:rPr>
      <w:t>Agence régionale de santé Provence-Alpes-Côte d'Azur-Siège - 132, boulevard de Paris - CS 50039 - 13331 Marseille Cedex 03</w:t>
    </w:r>
  </w:p>
  <w:p w:rsidR="009B3E5E" w:rsidRPr="005355B3" w:rsidRDefault="002E119F" w:rsidP="009B3E5E">
    <w:pPr>
      <w:spacing w:before="20" w:after="0" w:line="240" w:lineRule="auto"/>
      <w:rPr>
        <w:rStyle w:val="Numrodepage"/>
        <w:color w:val="808080" w:themeColor="background1" w:themeShade="80"/>
        <w:sz w:val="14"/>
        <w:szCs w:val="14"/>
      </w:rPr>
    </w:pPr>
    <w:hyperlink r:id="rId1" w:history="1">
      <w:r w:rsidR="009B3E5E" w:rsidRPr="005355B3">
        <w:rPr>
          <w:rStyle w:val="Lienhypertexte"/>
          <w:color w:val="808080" w:themeColor="background1" w:themeShade="80"/>
          <w:sz w:val="14"/>
          <w:szCs w:val="14"/>
        </w:rPr>
        <w:t>https://www.paca.ars.sante.fr/</w:t>
      </w:r>
    </w:hyperlink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 w:rsidRPr="005355B3">
      <w:rPr>
        <w:color w:val="808080" w:themeColor="background1" w:themeShade="80"/>
        <w:sz w:val="14"/>
        <w:szCs w:val="14"/>
      </w:rPr>
      <w:t xml:space="preserve">Page 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begin"/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instrText xml:space="preserve"> PAGE </w:instrTex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separate"/>
    </w:r>
    <w:r w:rsidR="00324D87">
      <w:rPr>
        <w:rStyle w:val="Numrodepage"/>
        <w:rFonts w:ascii="Marianne" w:hAnsi="Marianne"/>
        <w:noProof/>
        <w:color w:val="808080" w:themeColor="background1" w:themeShade="80"/>
        <w:sz w:val="14"/>
        <w:szCs w:val="14"/>
      </w:rPr>
      <w:t>2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end"/>
    </w:r>
    <w:r w:rsidR="009B3E5E" w:rsidRPr="005355B3">
      <w:rPr>
        <w:color w:val="808080" w:themeColor="background1" w:themeShade="80"/>
        <w:sz w:val="14"/>
        <w:szCs w:val="14"/>
      </w:rPr>
      <w:t>/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begin"/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instrText xml:space="preserve"> NUMPAGES </w:instrTex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separate"/>
    </w:r>
    <w:r w:rsidR="00324D87">
      <w:rPr>
        <w:rStyle w:val="Numrodepage"/>
        <w:rFonts w:ascii="Marianne" w:hAnsi="Marianne"/>
        <w:noProof/>
        <w:color w:val="808080" w:themeColor="background1" w:themeShade="80"/>
        <w:sz w:val="14"/>
        <w:szCs w:val="14"/>
      </w:rPr>
      <w:t>2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end"/>
    </w:r>
  </w:p>
  <w:p w:rsidR="009B3E5E" w:rsidRPr="005355B3" w:rsidRDefault="009B3E5E" w:rsidP="009B3E5E">
    <w:pPr>
      <w:spacing w:before="20"/>
      <w:rPr>
        <w:rStyle w:val="Numrodepage"/>
        <w:color w:val="002395"/>
        <w:sz w:val="16"/>
        <w:szCs w:val="16"/>
      </w:rPr>
    </w:pPr>
  </w:p>
  <w:p w:rsidR="009B3E5E" w:rsidRPr="005355B3" w:rsidRDefault="009B3E5E" w:rsidP="009B3E5E">
    <w:pPr>
      <w:spacing w:before="20"/>
      <w:jc w:val="center"/>
      <w:rPr>
        <w:color w:val="808080" w:themeColor="background1" w:themeShade="80"/>
        <w:sz w:val="16"/>
      </w:rPr>
    </w:pPr>
  </w:p>
  <w:p w:rsidR="009B3E5E" w:rsidRDefault="009B3E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9F" w:rsidRDefault="002E119F" w:rsidP="009B3E5E">
      <w:pPr>
        <w:spacing w:after="0" w:line="240" w:lineRule="auto"/>
      </w:pPr>
      <w:r>
        <w:separator/>
      </w:r>
    </w:p>
  </w:footnote>
  <w:footnote w:type="continuationSeparator" w:id="0">
    <w:p w:rsidR="002E119F" w:rsidRDefault="002E119F" w:rsidP="009B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  <w:r w:rsidRPr="00D82581">
      <w:tab/>
    </w: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615DB2">
    <w:pPr>
      <w:pStyle w:val="En-tte"/>
      <w:tabs>
        <w:tab w:val="clear" w:pos="4536"/>
        <w:tab w:val="clear" w:pos="9072"/>
        <w:tab w:val="left" w:pos="915"/>
      </w:tabs>
      <w:spacing w:after="240"/>
    </w:pPr>
    <w:r>
      <w:t xml:space="preserve">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744C2AE2" wp14:editId="29161717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044000" cy="928800"/>
          <wp:effectExtent l="0" t="0" r="3810" b="5080"/>
          <wp:wrapTight wrapText="bothSides">
            <wp:wrapPolygon edited="0">
              <wp:start x="0" y="0"/>
              <wp:lineTo x="0" y="21275"/>
              <wp:lineTo x="8672" y="21275"/>
              <wp:lineTo x="9066" y="20389"/>
              <wp:lineTo x="6701" y="14183"/>
              <wp:lineTo x="19708" y="12410"/>
              <wp:lineTo x="21285" y="7535"/>
              <wp:lineTo x="21285" y="4876"/>
              <wp:lineTo x="9854" y="0"/>
              <wp:lineTo x="0" y="0"/>
            </wp:wrapPolygon>
          </wp:wrapTight>
          <wp:docPr id="13" name="Image 13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1" t="12999" r="11429" b="11032"/>
                  <a:stretch/>
                </pic:blipFill>
                <pic:spPr bwMode="auto">
                  <a:xfrm>
                    <a:off x="0" y="0"/>
                    <a:ext cx="1044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9DD">
      <w:rPr>
        <w:rFonts w:ascii="Marianne" w:hAnsi="Marianne"/>
        <w:noProof/>
      </w:rPr>
      <w:drawing>
        <wp:anchor distT="0" distB="0" distL="114300" distR="114300" simplePos="0" relativeHeight="251657216" behindDoc="0" locked="0" layoutInCell="1" allowOverlap="1" wp14:anchorId="4F8091EA" wp14:editId="126A9F91">
          <wp:simplePos x="0" y="0"/>
          <wp:positionH relativeFrom="page">
            <wp:posOffset>5386070</wp:posOffset>
          </wp:positionH>
          <wp:positionV relativeFrom="page">
            <wp:posOffset>612140</wp:posOffset>
          </wp:positionV>
          <wp:extent cx="1580400" cy="939600"/>
          <wp:effectExtent l="0" t="0" r="127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81D"/>
    <w:multiLevelType w:val="hybridMultilevel"/>
    <w:tmpl w:val="02502D16"/>
    <w:lvl w:ilvl="0" w:tplc="B28E8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102"/>
    <w:multiLevelType w:val="hybridMultilevel"/>
    <w:tmpl w:val="7C54128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125B9"/>
    <w:multiLevelType w:val="hybridMultilevel"/>
    <w:tmpl w:val="A72A6C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4E27"/>
    <w:multiLevelType w:val="hybridMultilevel"/>
    <w:tmpl w:val="46F6B2C6"/>
    <w:lvl w:ilvl="0" w:tplc="74C6367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1359F"/>
    <w:multiLevelType w:val="hybridMultilevel"/>
    <w:tmpl w:val="8B2827C2"/>
    <w:lvl w:ilvl="0" w:tplc="4C0CE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54315"/>
    <w:multiLevelType w:val="hybridMultilevel"/>
    <w:tmpl w:val="18E67CC6"/>
    <w:lvl w:ilvl="0" w:tplc="63A42852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F01FB6"/>
    <w:multiLevelType w:val="hybridMultilevel"/>
    <w:tmpl w:val="85A48A80"/>
    <w:lvl w:ilvl="0" w:tplc="578AD7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CBBF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47734"/>
    <w:multiLevelType w:val="hybridMultilevel"/>
    <w:tmpl w:val="D12C467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65C01AA"/>
    <w:multiLevelType w:val="hybridMultilevel"/>
    <w:tmpl w:val="EDD23730"/>
    <w:lvl w:ilvl="0" w:tplc="4E020A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A7399"/>
    <w:multiLevelType w:val="hybridMultilevel"/>
    <w:tmpl w:val="99E0BC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5E"/>
    <w:rsid w:val="00012A16"/>
    <w:rsid w:val="000469B7"/>
    <w:rsid w:val="00094974"/>
    <w:rsid w:val="000B7657"/>
    <w:rsid w:val="00117AC9"/>
    <w:rsid w:val="00123EA2"/>
    <w:rsid w:val="00165262"/>
    <w:rsid w:val="00187FCB"/>
    <w:rsid w:val="001C3257"/>
    <w:rsid w:val="002214D5"/>
    <w:rsid w:val="00261798"/>
    <w:rsid w:val="00280321"/>
    <w:rsid w:val="002A02C2"/>
    <w:rsid w:val="002E119F"/>
    <w:rsid w:val="002E6229"/>
    <w:rsid w:val="00324D87"/>
    <w:rsid w:val="00340D09"/>
    <w:rsid w:val="003B42B2"/>
    <w:rsid w:val="003E74E8"/>
    <w:rsid w:val="003F4DCA"/>
    <w:rsid w:val="00417549"/>
    <w:rsid w:val="0048015F"/>
    <w:rsid w:val="004A1016"/>
    <w:rsid w:val="004C5958"/>
    <w:rsid w:val="004F0596"/>
    <w:rsid w:val="005041EA"/>
    <w:rsid w:val="00580F5F"/>
    <w:rsid w:val="005835E6"/>
    <w:rsid w:val="00583A8A"/>
    <w:rsid w:val="005A2A12"/>
    <w:rsid w:val="005A4515"/>
    <w:rsid w:val="005B6772"/>
    <w:rsid w:val="005D64B6"/>
    <w:rsid w:val="005F7859"/>
    <w:rsid w:val="00610801"/>
    <w:rsid w:val="00615DB2"/>
    <w:rsid w:val="0062245F"/>
    <w:rsid w:val="00651AF1"/>
    <w:rsid w:val="00674E8C"/>
    <w:rsid w:val="006815F4"/>
    <w:rsid w:val="006912B7"/>
    <w:rsid w:val="006E2881"/>
    <w:rsid w:val="00726555"/>
    <w:rsid w:val="00727F8E"/>
    <w:rsid w:val="007412B5"/>
    <w:rsid w:val="007700F9"/>
    <w:rsid w:val="00777FF3"/>
    <w:rsid w:val="007C55D7"/>
    <w:rsid w:val="00821FFD"/>
    <w:rsid w:val="00835842"/>
    <w:rsid w:val="008444D0"/>
    <w:rsid w:val="008D01C5"/>
    <w:rsid w:val="00903FBA"/>
    <w:rsid w:val="00963F48"/>
    <w:rsid w:val="00974EF5"/>
    <w:rsid w:val="009B3E5E"/>
    <w:rsid w:val="009C2178"/>
    <w:rsid w:val="009D4015"/>
    <w:rsid w:val="00A20390"/>
    <w:rsid w:val="00A526C5"/>
    <w:rsid w:val="00A929DE"/>
    <w:rsid w:val="00B63199"/>
    <w:rsid w:val="00B660BF"/>
    <w:rsid w:val="00BB487A"/>
    <w:rsid w:val="00BE4490"/>
    <w:rsid w:val="00C15020"/>
    <w:rsid w:val="00C328C1"/>
    <w:rsid w:val="00C45B58"/>
    <w:rsid w:val="00C75006"/>
    <w:rsid w:val="00CA0C9B"/>
    <w:rsid w:val="00CB2408"/>
    <w:rsid w:val="00CB63B4"/>
    <w:rsid w:val="00CD4924"/>
    <w:rsid w:val="00CE03BB"/>
    <w:rsid w:val="00CF3B40"/>
    <w:rsid w:val="00D27DFD"/>
    <w:rsid w:val="00D30388"/>
    <w:rsid w:val="00DA6202"/>
    <w:rsid w:val="00DC6005"/>
    <w:rsid w:val="00E12394"/>
    <w:rsid w:val="00E41DF4"/>
    <w:rsid w:val="00E55AC8"/>
    <w:rsid w:val="00E706B1"/>
    <w:rsid w:val="00EA35D6"/>
    <w:rsid w:val="00EA70AF"/>
    <w:rsid w:val="00EB10D6"/>
    <w:rsid w:val="00EF25BB"/>
    <w:rsid w:val="00F14A3D"/>
    <w:rsid w:val="00F7125A"/>
    <w:rsid w:val="00FB1CC3"/>
    <w:rsid w:val="00FE416C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E4AF9"/>
  <w15:chartTrackingRefBased/>
  <w15:docId w15:val="{5C65A1BD-CC11-4A08-A368-C00B50D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3E5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B3E5E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rsid w:val="009B3E5E"/>
    <w:rPr>
      <w:color w:val="0000FF"/>
      <w:u w:val="single"/>
    </w:rPr>
  </w:style>
  <w:style w:type="character" w:styleId="Numrodepage">
    <w:name w:val="page number"/>
    <w:basedOn w:val="Policepardfaut"/>
    <w:rsid w:val="009B3E5E"/>
  </w:style>
  <w:style w:type="paragraph" w:styleId="Corpsdetexte">
    <w:name w:val="Body Text"/>
    <w:basedOn w:val="Normal"/>
    <w:link w:val="CorpsdetexteCar"/>
    <w:uiPriority w:val="1"/>
    <w:qFormat/>
    <w:rsid w:val="009B3E5E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3E5E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E5E"/>
  </w:style>
  <w:style w:type="paragraph" w:styleId="Paragraphedeliste">
    <w:name w:val="List Paragraph"/>
    <w:basedOn w:val="Normal"/>
    <w:uiPriority w:val="34"/>
    <w:qFormat/>
    <w:rsid w:val="00821FFD"/>
    <w:pPr>
      <w:ind w:left="720"/>
      <w:contextualSpacing/>
    </w:pPr>
  </w:style>
  <w:style w:type="paragraph" w:customStyle="1" w:styleId="Default">
    <w:name w:val="Default"/>
    <w:rsid w:val="00821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D492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gaubert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-PACA-DOS-DOH@ars.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ca.ars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BERETTI</dc:creator>
  <cp:keywords/>
  <dc:description/>
  <cp:lastModifiedBy>GAUBERT, Guillaume (ARS-PACA/DOS/DOH)</cp:lastModifiedBy>
  <cp:revision>27</cp:revision>
  <dcterms:created xsi:type="dcterms:W3CDTF">2024-06-24T15:20:00Z</dcterms:created>
  <dcterms:modified xsi:type="dcterms:W3CDTF">2024-07-11T16:23:00Z</dcterms:modified>
</cp:coreProperties>
</file>